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112F8" w14:textId="145F8716" w:rsidR="00D077C7" w:rsidRPr="00A519F4" w:rsidRDefault="00D077C7" w:rsidP="00467CA7">
      <w:pPr>
        <w:rPr>
          <w:b/>
          <w:color w:val="000000" w:themeColor="text1"/>
        </w:rPr>
      </w:pPr>
      <w:r w:rsidRPr="00A519F4">
        <w:rPr>
          <w:b/>
          <w:color w:val="000000" w:themeColor="text1"/>
        </w:rPr>
        <w:br/>
      </w:r>
    </w:p>
    <w:p w14:paraId="2A8166F9" w14:textId="77777777" w:rsidR="00D077C7" w:rsidRPr="00A519F4" w:rsidRDefault="007B6F40" w:rsidP="00D077C7">
      <w:pPr>
        <w:rPr>
          <w:color w:val="000000" w:themeColor="text1"/>
        </w:rPr>
      </w:pPr>
      <w:r>
        <w:rPr>
          <w:b/>
          <w:color w:val="000000" w:themeColor="text1"/>
        </w:rPr>
        <w:t xml:space="preserve">Post Specification </w:t>
      </w:r>
      <w:r w:rsidR="00AD47E4" w:rsidRPr="00A519F4">
        <w:rPr>
          <w:color w:val="000000" w:themeColor="text1"/>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2674"/>
        <w:gridCol w:w="5848"/>
      </w:tblGrid>
      <w:tr w:rsidR="00467CA7" w:rsidRPr="00A519F4" w14:paraId="61C3A8B4" w14:textId="77777777" w:rsidTr="00EA52B2">
        <w:trPr>
          <w:trHeight w:val="432"/>
          <w:jc w:val="center"/>
        </w:trPr>
        <w:tc>
          <w:tcPr>
            <w:tcW w:w="2674" w:type="dxa"/>
            <w:shd w:val="clear" w:color="auto" w:fill="E6E6E6"/>
            <w:vAlign w:val="center"/>
          </w:tcPr>
          <w:p w14:paraId="7CDD5012" w14:textId="77777777" w:rsidR="00467CA7" w:rsidRPr="00A519F4" w:rsidRDefault="00467CA7" w:rsidP="00EA52B2">
            <w:pPr>
              <w:rPr>
                <w:b/>
                <w:color w:val="000000" w:themeColor="text1"/>
              </w:rPr>
            </w:pPr>
            <w:r w:rsidRPr="00A519F4">
              <w:rPr>
                <w:b/>
                <w:color w:val="000000" w:themeColor="text1"/>
              </w:rPr>
              <w:t>Post Title:</w:t>
            </w:r>
          </w:p>
        </w:tc>
        <w:tc>
          <w:tcPr>
            <w:tcW w:w="5848" w:type="dxa"/>
            <w:shd w:val="clear" w:color="auto" w:fill="E6E6E6"/>
            <w:vAlign w:val="center"/>
          </w:tcPr>
          <w:p w14:paraId="5155C06B" w14:textId="2B815A33" w:rsidR="00467CA7" w:rsidRPr="00D96A56" w:rsidRDefault="005310B2" w:rsidP="00EA52B2">
            <w:pPr>
              <w:rPr>
                <w:bCs/>
                <w:color w:val="000000" w:themeColor="text1"/>
              </w:rPr>
            </w:pPr>
            <w:r>
              <w:rPr>
                <w:bCs/>
                <w:color w:val="000000" w:themeColor="text1"/>
              </w:rPr>
              <w:t xml:space="preserve">Research </w:t>
            </w:r>
            <w:r w:rsidR="00696264">
              <w:rPr>
                <w:bCs/>
                <w:color w:val="000000" w:themeColor="text1"/>
              </w:rPr>
              <w:t>Assistant</w:t>
            </w:r>
            <w:r w:rsidR="00E7125D">
              <w:rPr>
                <w:bCs/>
                <w:color w:val="000000" w:themeColor="text1"/>
              </w:rPr>
              <w:t xml:space="preserve">: CULTIVATE Compass </w:t>
            </w:r>
            <w:r w:rsidR="00FD7B11">
              <w:rPr>
                <w:bCs/>
                <w:color w:val="000000" w:themeColor="text1"/>
              </w:rPr>
              <w:t>Co-ordinator</w:t>
            </w:r>
          </w:p>
        </w:tc>
      </w:tr>
      <w:tr w:rsidR="00467CA7" w:rsidRPr="00A519F4" w14:paraId="41F8A960" w14:textId="77777777" w:rsidTr="00EA52B2">
        <w:trPr>
          <w:trHeight w:val="432"/>
          <w:jc w:val="center"/>
        </w:trPr>
        <w:tc>
          <w:tcPr>
            <w:tcW w:w="2674" w:type="dxa"/>
            <w:shd w:val="clear" w:color="auto" w:fill="E6E6E6"/>
            <w:vAlign w:val="center"/>
          </w:tcPr>
          <w:p w14:paraId="2A2BE772" w14:textId="77777777" w:rsidR="00467CA7" w:rsidRPr="00A519F4" w:rsidRDefault="00467CA7" w:rsidP="00EA52B2">
            <w:pPr>
              <w:rPr>
                <w:b/>
                <w:color w:val="000000" w:themeColor="text1"/>
              </w:rPr>
            </w:pPr>
            <w:r w:rsidRPr="00A519F4">
              <w:rPr>
                <w:b/>
                <w:color w:val="000000" w:themeColor="text1"/>
              </w:rPr>
              <w:t>Post Status:</w:t>
            </w:r>
          </w:p>
        </w:tc>
        <w:tc>
          <w:tcPr>
            <w:tcW w:w="5848" w:type="dxa"/>
            <w:shd w:val="clear" w:color="auto" w:fill="E6E6E6"/>
            <w:vAlign w:val="center"/>
          </w:tcPr>
          <w:p w14:paraId="715AC306" w14:textId="234068E6" w:rsidR="00467CA7" w:rsidRPr="00961BF9" w:rsidRDefault="00467CA7" w:rsidP="00EA52B2">
            <w:pPr>
              <w:rPr>
                <w:color w:val="000000" w:themeColor="text1"/>
              </w:rPr>
            </w:pPr>
            <w:r w:rsidRPr="00D96A56">
              <w:rPr>
                <w:color w:val="000000" w:themeColor="text1"/>
              </w:rPr>
              <w:t xml:space="preserve">Specific Purpose Contract – </w:t>
            </w:r>
            <w:r w:rsidRPr="00683BED">
              <w:rPr>
                <w:color w:val="000000" w:themeColor="text1"/>
              </w:rPr>
              <w:t xml:space="preserve">Full-time </w:t>
            </w:r>
          </w:p>
        </w:tc>
      </w:tr>
      <w:tr w:rsidR="00467CA7" w:rsidRPr="00A519F4" w14:paraId="332BD887" w14:textId="77777777" w:rsidTr="00EA52B2">
        <w:trPr>
          <w:trHeight w:val="412"/>
          <w:jc w:val="center"/>
        </w:trPr>
        <w:tc>
          <w:tcPr>
            <w:tcW w:w="2674" w:type="dxa"/>
            <w:shd w:val="clear" w:color="auto" w:fill="E6E6E6"/>
            <w:vAlign w:val="center"/>
          </w:tcPr>
          <w:p w14:paraId="7B86ACCD" w14:textId="77777777" w:rsidR="00467CA7" w:rsidRPr="00A519F4" w:rsidRDefault="00467CA7" w:rsidP="00EA52B2">
            <w:pPr>
              <w:rPr>
                <w:b/>
                <w:color w:val="000000" w:themeColor="text1"/>
              </w:rPr>
            </w:pPr>
            <w:r>
              <w:rPr>
                <w:b/>
                <w:color w:val="000000" w:themeColor="text1"/>
              </w:rPr>
              <w:t>Research Group / Department / School:</w:t>
            </w:r>
          </w:p>
        </w:tc>
        <w:tc>
          <w:tcPr>
            <w:tcW w:w="5848" w:type="dxa"/>
            <w:shd w:val="clear" w:color="auto" w:fill="E6E6E6"/>
            <w:vAlign w:val="center"/>
          </w:tcPr>
          <w:p w14:paraId="78A02802" w14:textId="77777777" w:rsidR="00467CA7" w:rsidRPr="00D96A56" w:rsidRDefault="00467CA7" w:rsidP="00EA52B2">
            <w:pPr>
              <w:rPr>
                <w:bCs/>
                <w:color w:val="000000" w:themeColor="text1"/>
              </w:rPr>
            </w:pPr>
            <w:r w:rsidRPr="00D96A56">
              <w:rPr>
                <w:color w:val="000000" w:themeColor="text1"/>
              </w:rPr>
              <w:t>Geography, Natural Sciences, Trinity College Dublin, the University of Dublin</w:t>
            </w:r>
          </w:p>
        </w:tc>
      </w:tr>
      <w:tr w:rsidR="00467CA7" w:rsidRPr="00A519F4" w14:paraId="2FFD98EB" w14:textId="77777777" w:rsidTr="00EA52B2">
        <w:trPr>
          <w:trHeight w:val="432"/>
          <w:jc w:val="center"/>
        </w:trPr>
        <w:tc>
          <w:tcPr>
            <w:tcW w:w="2674" w:type="dxa"/>
            <w:shd w:val="clear" w:color="auto" w:fill="E6E6E6"/>
            <w:vAlign w:val="center"/>
          </w:tcPr>
          <w:p w14:paraId="341E7A00" w14:textId="77777777" w:rsidR="00467CA7" w:rsidRPr="00A519F4" w:rsidRDefault="00467CA7" w:rsidP="00EA52B2">
            <w:pPr>
              <w:rPr>
                <w:b/>
                <w:color w:val="000000" w:themeColor="text1"/>
              </w:rPr>
            </w:pPr>
            <w:r w:rsidRPr="00A519F4">
              <w:rPr>
                <w:b/>
                <w:color w:val="000000" w:themeColor="text1"/>
              </w:rPr>
              <w:t>Location:</w:t>
            </w:r>
          </w:p>
        </w:tc>
        <w:tc>
          <w:tcPr>
            <w:tcW w:w="5848" w:type="dxa"/>
            <w:shd w:val="clear" w:color="auto" w:fill="E6E6E6"/>
            <w:vAlign w:val="center"/>
          </w:tcPr>
          <w:p w14:paraId="103B2C5E" w14:textId="77777777" w:rsidR="00467CA7" w:rsidRPr="00466B76" w:rsidRDefault="00467CA7" w:rsidP="00EA52B2">
            <w:pPr>
              <w:rPr>
                <w:bCs/>
                <w:color w:val="000000" w:themeColor="text1"/>
              </w:rPr>
            </w:pPr>
            <w:r>
              <w:rPr>
                <w:color w:val="000000" w:themeColor="text1"/>
              </w:rPr>
              <w:t>Geography, Natural Sciences</w:t>
            </w:r>
            <w:r w:rsidRPr="00466B76">
              <w:rPr>
                <w:color w:val="000000" w:themeColor="text1"/>
              </w:rPr>
              <w:t xml:space="preserve"> </w:t>
            </w:r>
            <w:r>
              <w:rPr>
                <w:color w:val="000000" w:themeColor="text1"/>
              </w:rPr>
              <w:br/>
            </w:r>
            <w:r w:rsidRPr="00466B76">
              <w:rPr>
                <w:color w:val="000000" w:themeColor="text1"/>
              </w:rPr>
              <w:t>Trinity College Dublin, the University of Dublin</w:t>
            </w:r>
          </w:p>
          <w:p w14:paraId="4921C7DF" w14:textId="77777777" w:rsidR="00467CA7" w:rsidRPr="00466B76" w:rsidRDefault="00467CA7" w:rsidP="00EA52B2">
            <w:pPr>
              <w:rPr>
                <w:bCs/>
                <w:color w:val="000000" w:themeColor="text1"/>
              </w:rPr>
            </w:pPr>
            <w:r w:rsidRPr="00466B76">
              <w:rPr>
                <w:color w:val="000000" w:themeColor="text1"/>
              </w:rPr>
              <w:t>College Green, Dublin 2, Ireland</w:t>
            </w:r>
          </w:p>
        </w:tc>
      </w:tr>
      <w:tr w:rsidR="00467CA7" w:rsidRPr="00A519F4" w14:paraId="36434365" w14:textId="77777777" w:rsidTr="00EA52B2">
        <w:trPr>
          <w:trHeight w:val="432"/>
          <w:jc w:val="center"/>
        </w:trPr>
        <w:tc>
          <w:tcPr>
            <w:tcW w:w="2674" w:type="dxa"/>
            <w:shd w:val="clear" w:color="auto" w:fill="E6E6E6"/>
            <w:vAlign w:val="center"/>
          </w:tcPr>
          <w:p w14:paraId="2EE04038" w14:textId="77777777" w:rsidR="00467CA7" w:rsidRPr="00A519F4" w:rsidRDefault="00467CA7" w:rsidP="00EA52B2">
            <w:pPr>
              <w:rPr>
                <w:b/>
                <w:color w:val="000000" w:themeColor="text1"/>
              </w:rPr>
            </w:pPr>
            <w:r w:rsidRPr="00A519F4">
              <w:rPr>
                <w:b/>
                <w:color w:val="000000" w:themeColor="text1"/>
              </w:rPr>
              <w:t>Reports to:</w:t>
            </w:r>
          </w:p>
        </w:tc>
        <w:tc>
          <w:tcPr>
            <w:tcW w:w="5848" w:type="dxa"/>
            <w:shd w:val="clear" w:color="auto" w:fill="E6E6E6"/>
            <w:vAlign w:val="center"/>
          </w:tcPr>
          <w:p w14:paraId="6C0C7DCE" w14:textId="77777777" w:rsidR="00467CA7" w:rsidRPr="00466B76" w:rsidRDefault="00467CA7" w:rsidP="00EA52B2">
            <w:pPr>
              <w:rPr>
                <w:bCs/>
                <w:color w:val="000000" w:themeColor="text1"/>
              </w:rPr>
            </w:pPr>
            <w:r>
              <w:rPr>
                <w:color w:val="000000" w:themeColor="text1"/>
              </w:rPr>
              <w:t>Professor Anna Davies</w:t>
            </w:r>
          </w:p>
        </w:tc>
      </w:tr>
      <w:tr w:rsidR="00467CA7" w:rsidRPr="00A519F4" w14:paraId="6FCE711D" w14:textId="77777777" w:rsidTr="00EA52B2">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4D7D4166" w14:textId="77777777" w:rsidR="00467CA7" w:rsidRPr="00A519F4" w:rsidRDefault="00467CA7" w:rsidP="00EA52B2">
            <w:pPr>
              <w:rPr>
                <w:b/>
                <w:color w:val="000000" w:themeColor="text1"/>
              </w:rPr>
            </w:pPr>
            <w:r w:rsidRPr="00A519F4">
              <w:rPr>
                <w:b/>
                <w:color w:val="000000" w:themeColor="text1"/>
              </w:rPr>
              <w:t xml:space="preserve">Salary: </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5942B960" w14:textId="76334BBF" w:rsidR="00467CA7" w:rsidRPr="002F449F" w:rsidRDefault="00467CA7" w:rsidP="00EA52B2">
            <w:pPr>
              <w:rPr>
                <w:color w:val="000000" w:themeColor="text1"/>
              </w:rPr>
            </w:pPr>
            <w:r w:rsidRPr="00D96A56">
              <w:rPr>
                <w:color w:val="000000" w:themeColor="text1"/>
              </w:rPr>
              <w:t xml:space="preserve">Appointment will be made on the </w:t>
            </w:r>
            <w:r w:rsidR="00824DA3">
              <w:rPr>
                <w:color w:val="000000" w:themeColor="text1"/>
              </w:rPr>
              <w:t>I</w:t>
            </w:r>
            <w:r w:rsidR="00824DA3">
              <w:t xml:space="preserve">UA </w:t>
            </w:r>
            <w:r w:rsidRPr="00D96A56">
              <w:rPr>
                <w:color w:val="000000" w:themeColor="text1"/>
              </w:rPr>
              <w:t>Salary Scale</w:t>
            </w:r>
            <w:r w:rsidR="005310B2">
              <w:rPr>
                <w:color w:val="000000" w:themeColor="text1"/>
              </w:rPr>
              <w:t>s</w:t>
            </w:r>
            <w:r w:rsidRPr="00D96A56">
              <w:rPr>
                <w:color w:val="000000" w:themeColor="text1"/>
              </w:rPr>
              <w:t xml:space="preserve"> at a point in line with Government Pay Policy </w:t>
            </w:r>
            <w:r w:rsidR="005310B2">
              <w:rPr>
                <w:color w:val="000000" w:themeColor="text1"/>
              </w:rPr>
              <w:t>and experience</w:t>
            </w:r>
            <w:r w:rsidR="002F449F">
              <w:rPr>
                <w:color w:val="000000" w:themeColor="text1"/>
              </w:rPr>
              <w:t xml:space="preserve"> within the range of </w:t>
            </w:r>
            <w:r w:rsidR="002F449F" w:rsidRPr="002F449F">
              <w:rPr>
                <w:color w:val="000000" w:themeColor="text1"/>
              </w:rPr>
              <w:t>€33,791-€43,872</w:t>
            </w:r>
          </w:p>
        </w:tc>
      </w:tr>
      <w:tr w:rsidR="00467CA7" w:rsidRPr="00A519F4" w14:paraId="0184AA4C" w14:textId="77777777" w:rsidTr="00EA52B2">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5DD64C2F" w14:textId="77777777" w:rsidR="00467CA7" w:rsidRPr="00A519F4" w:rsidRDefault="00467CA7" w:rsidP="00EA52B2">
            <w:pPr>
              <w:rPr>
                <w:b/>
                <w:color w:val="000000" w:themeColor="text1"/>
              </w:rPr>
            </w:pPr>
            <w:r w:rsidRPr="00A519F4">
              <w:rPr>
                <w:b/>
                <w:color w:val="000000" w:themeColor="text1"/>
              </w:rPr>
              <w:t>Hours of Work:</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0135A196" w14:textId="0F4FB602" w:rsidR="00467CA7" w:rsidRPr="00466B76" w:rsidRDefault="00467CA7" w:rsidP="00EA52B2">
            <w:pPr>
              <w:rPr>
                <w:bCs/>
                <w:color w:val="000000" w:themeColor="text1"/>
              </w:rPr>
            </w:pPr>
            <w:r>
              <w:rPr>
                <w:bCs/>
                <w:color w:val="000000" w:themeColor="text1"/>
              </w:rPr>
              <w:t>3</w:t>
            </w:r>
            <w:r w:rsidR="005310B2">
              <w:rPr>
                <w:bCs/>
                <w:color w:val="000000" w:themeColor="text1"/>
              </w:rPr>
              <w:t>9</w:t>
            </w:r>
            <w:r>
              <w:rPr>
                <w:bCs/>
                <w:color w:val="000000" w:themeColor="text1"/>
              </w:rPr>
              <w:t xml:space="preserve"> hours per week</w:t>
            </w:r>
          </w:p>
        </w:tc>
      </w:tr>
      <w:tr w:rsidR="00467CA7" w:rsidRPr="00A519F4" w14:paraId="71C8A5CD" w14:textId="77777777" w:rsidTr="00EA52B2">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5985DEEE" w14:textId="77777777" w:rsidR="00467CA7" w:rsidRPr="00A519F4" w:rsidRDefault="00467CA7" w:rsidP="00EA52B2">
            <w:pPr>
              <w:rPr>
                <w:b/>
                <w:color w:val="000000" w:themeColor="text1"/>
              </w:rPr>
            </w:pPr>
            <w:r w:rsidRPr="00A519F4">
              <w:rPr>
                <w:b/>
                <w:color w:val="000000" w:themeColor="text1"/>
              </w:rPr>
              <w:t xml:space="preserve">Closing Date: </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7FC63412" w14:textId="3AA352DB" w:rsidR="00467CA7" w:rsidRPr="00466B76" w:rsidRDefault="00A77B56" w:rsidP="00EA52B2">
            <w:pPr>
              <w:rPr>
                <w:bCs/>
                <w:color w:val="000000" w:themeColor="text1"/>
              </w:rPr>
            </w:pPr>
            <w:r>
              <w:rPr>
                <w:color w:val="000000" w:themeColor="text1"/>
              </w:rPr>
              <w:t>Friday May 8</w:t>
            </w:r>
            <w:r w:rsidRPr="00A77B56">
              <w:rPr>
                <w:color w:val="000000" w:themeColor="text1"/>
                <w:vertAlign w:val="superscript"/>
              </w:rPr>
              <w:t>th</w:t>
            </w:r>
            <w:r>
              <w:rPr>
                <w:color w:val="000000" w:themeColor="text1"/>
              </w:rPr>
              <w:t xml:space="preserve"> </w:t>
            </w:r>
            <w:r w:rsidR="00890FB2">
              <w:rPr>
                <w:color w:val="000000" w:themeColor="text1"/>
              </w:rPr>
              <w:t xml:space="preserve">12 noon </w:t>
            </w:r>
            <w:r w:rsidR="004437A9">
              <w:rPr>
                <w:color w:val="000000" w:themeColor="text1"/>
              </w:rPr>
              <w:t>CEST</w:t>
            </w:r>
          </w:p>
        </w:tc>
      </w:tr>
    </w:tbl>
    <w:p w14:paraId="0183D745" w14:textId="77777777" w:rsidR="00D077C7" w:rsidRPr="00A519F4" w:rsidRDefault="00D077C7" w:rsidP="00D077C7">
      <w:pPr>
        <w:rPr>
          <w:color w:val="000000" w:themeColor="text1"/>
        </w:rPr>
      </w:pPr>
    </w:p>
    <w:p w14:paraId="39E62505" w14:textId="77777777" w:rsidR="00D077C7" w:rsidRPr="00A519F4" w:rsidRDefault="00D077C7" w:rsidP="00D077C7">
      <w:pPr>
        <w:rPr>
          <w:color w:val="000000" w:themeColor="text1"/>
        </w:rPr>
      </w:pPr>
    </w:p>
    <w:p w14:paraId="6B07CC3D" w14:textId="77777777" w:rsidR="00D077C7" w:rsidRPr="00A519F4" w:rsidRDefault="00D077C7">
      <w:pPr>
        <w:spacing w:after="200" w:line="276" w:lineRule="auto"/>
        <w:rPr>
          <w:color w:val="000000" w:themeColor="text1"/>
          <w:highlight w:val="yellow"/>
        </w:rPr>
      </w:pPr>
      <w:r w:rsidRPr="00A519F4">
        <w:rPr>
          <w:color w:val="000000" w:themeColor="text1"/>
          <w:highlight w:val="yellow"/>
        </w:rPr>
        <w:br w:type="page"/>
      </w:r>
    </w:p>
    <w:p w14:paraId="25332A1C" w14:textId="77777777" w:rsidR="006037E5" w:rsidRPr="00A519F4" w:rsidRDefault="006037E5" w:rsidP="006037E5">
      <w:pPr>
        <w:rPr>
          <w:b/>
          <w:color w:val="000000" w:themeColor="text1"/>
        </w:rPr>
      </w:pPr>
      <w:r w:rsidRPr="00A519F4">
        <w:rPr>
          <w:b/>
          <w:color w:val="000000" w:themeColor="text1"/>
        </w:rPr>
        <w:lastRenderedPageBreak/>
        <w:t>Post Summary</w:t>
      </w:r>
    </w:p>
    <w:p w14:paraId="7EC2481F" w14:textId="7C0E9244" w:rsidR="009A1146" w:rsidRDefault="000B42DA" w:rsidP="006037E5">
      <w:pPr>
        <w:rPr>
          <w:color w:val="000000" w:themeColor="text1"/>
        </w:rPr>
      </w:pPr>
      <w:r>
        <w:rPr>
          <w:color w:val="000000" w:themeColor="text1"/>
        </w:rPr>
        <w:t>Th</w:t>
      </w:r>
      <w:r w:rsidR="00EE759B">
        <w:rPr>
          <w:color w:val="000000" w:themeColor="text1"/>
        </w:rPr>
        <w:t>is</w:t>
      </w:r>
      <w:r>
        <w:rPr>
          <w:color w:val="000000" w:themeColor="text1"/>
        </w:rPr>
        <w:t xml:space="preserve"> position</w:t>
      </w:r>
      <w:r w:rsidR="00EE759B">
        <w:rPr>
          <w:color w:val="000000" w:themeColor="text1"/>
        </w:rPr>
        <w:t>, based in Trinity College Dublin,</w:t>
      </w:r>
      <w:r>
        <w:rPr>
          <w:color w:val="000000" w:themeColor="text1"/>
        </w:rPr>
        <w:t xml:space="preserve"> </w:t>
      </w:r>
      <w:r w:rsidR="005310B2">
        <w:rPr>
          <w:color w:val="000000" w:themeColor="text1"/>
        </w:rPr>
        <w:t>forms a crucial part of</w:t>
      </w:r>
      <w:r w:rsidR="000F2A8C">
        <w:rPr>
          <w:color w:val="000000" w:themeColor="text1"/>
        </w:rPr>
        <w:t xml:space="preserve"> </w:t>
      </w:r>
      <w:r w:rsidR="00CB3782">
        <w:rPr>
          <w:color w:val="000000" w:themeColor="text1"/>
        </w:rPr>
        <w:t>the Horizon Europe Innovation Action project CULTIVATE: Co-designing food sharing resilience for resilience</w:t>
      </w:r>
      <w:r w:rsidR="007029D7">
        <w:rPr>
          <w:color w:val="000000" w:themeColor="text1"/>
        </w:rPr>
        <w:t xml:space="preserve"> </w:t>
      </w:r>
      <w:r w:rsidR="00CB3782">
        <w:rPr>
          <w:color w:val="000000" w:themeColor="text1"/>
        </w:rPr>
        <w:t>led by Prof. Anna Davies</w:t>
      </w:r>
      <w:r w:rsidR="007029D7">
        <w:rPr>
          <w:color w:val="000000" w:themeColor="text1"/>
        </w:rPr>
        <w:t xml:space="preserve">. </w:t>
      </w:r>
      <w:r w:rsidR="000F2A8C">
        <w:rPr>
          <w:color w:val="000000" w:themeColor="text1"/>
        </w:rPr>
        <w:t>CULTIVATE</w:t>
      </w:r>
      <w:r w:rsidR="008A6540">
        <w:rPr>
          <w:color w:val="000000" w:themeColor="text1"/>
        </w:rPr>
        <w:t xml:space="preserve">|: </w:t>
      </w:r>
      <w:hyperlink r:id="rId8" w:history="1">
        <w:r w:rsidR="008A6540" w:rsidRPr="00676597">
          <w:rPr>
            <w:rStyle w:val="Hyperlink"/>
          </w:rPr>
          <w:t>https://cultivate-project.eu/</w:t>
        </w:r>
      </w:hyperlink>
      <w:r w:rsidR="008A6540">
        <w:rPr>
          <w:color w:val="000000" w:themeColor="text1"/>
        </w:rPr>
        <w:t xml:space="preserve"> </w:t>
      </w:r>
      <w:r w:rsidR="000F2A8C">
        <w:rPr>
          <w:color w:val="000000" w:themeColor="text1"/>
        </w:rPr>
        <w:t>is a</w:t>
      </w:r>
      <w:r w:rsidR="00CB3782">
        <w:rPr>
          <w:color w:val="000000" w:themeColor="text1"/>
        </w:rPr>
        <w:t xml:space="preserve"> four-year project </w:t>
      </w:r>
      <w:r w:rsidR="000F2A8C">
        <w:rPr>
          <w:color w:val="000000" w:themeColor="text1"/>
        </w:rPr>
        <w:t>with</w:t>
      </w:r>
      <w:r w:rsidR="00CB3782">
        <w:rPr>
          <w:color w:val="000000" w:themeColor="text1"/>
        </w:rPr>
        <w:t xml:space="preserve"> 19 partners from across Europe, including food sharing initiatives, local authorities, international networks, creative enterprises and academic institutions. The </w:t>
      </w:r>
      <w:r w:rsidR="00CF4186">
        <w:rPr>
          <w:color w:val="000000" w:themeColor="text1"/>
        </w:rPr>
        <w:t>role</w:t>
      </w:r>
      <w:r w:rsidR="001D5248">
        <w:rPr>
          <w:color w:val="000000" w:themeColor="text1"/>
        </w:rPr>
        <w:t xml:space="preserve"> </w:t>
      </w:r>
      <w:r w:rsidR="008A6540">
        <w:rPr>
          <w:color w:val="000000" w:themeColor="text1"/>
        </w:rPr>
        <w:t>will</w:t>
      </w:r>
      <w:r w:rsidR="007C6A5F">
        <w:rPr>
          <w:color w:val="000000" w:themeColor="text1"/>
        </w:rPr>
        <w:t xml:space="preserve"> </w:t>
      </w:r>
      <w:r w:rsidR="00026622">
        <w:rPr>
          <w:color w:val="000000" w:themeColor="text1"/>
        </w:rPr>
        <w:t xml:space="preserve">develop and implement social media campaigns to </w:t>
      </w:r>
      <w:r w:rsidR="007C6A5F">
        <w:rPr>
          <w:color w:val="000000" w:themeColor="text1"/>
        </w:rPr>
        <w:t xml:space="preserve">promote </w:t>
      </w:r>
      <w:r w:rsidR="00724B8F">
        <w:rPr>
          <w:color w:val="000000" w:themeColor="text1"/>
        </w:rPr>
        <w:t xml:space="preserve">the active use of </w:t>
      </w:r>
      <w:r w:rsidR="00CF4186">
        <w:rPr>
          <w:color w:val="000000" w:themeColor="text1"/>
        </w:rPr>
        <w:t>tools</w:t>
      </w:r>
      <w:r w:rsidR="0084372E">
        <w:rPr>
          <w:color w:val="000000" w:themeColor="text1"/>
        </w:rPr>
        <w:t xml:space="preserve"> which have been developed</w:t>
      </w:r>
      <w:r w:rsidR="00442EB5">
        <w:rPr>
          <w:color w:val="000000" w:themeColor="text1"/>
        </w:rPr>
        <w:t xml:space="preserve"> in the project</w:t>
      </w:r>
      <w:r w:rsidR="00107D76">
        <w:rPr>
          <w:color w:val="000000" w:themeColor="text1"/>
        </w:rPr>
        <w:t xml:space="preserve"> under the umbrella of the Compass</w:t>
      </w:r>
      <w:r w:rsidR="00CF4186">
        <w:rPr>
          <w:color w:val="000000" w:themeColor="text1"/>
        </w:rPr>
        <w:t>: the Food Sharing Map; the Food Sharing Calculator, the Menu of Good Governance</w:t>
      </w:r>
      <w:r w:rsidR="005B5E97">
        <w:rPr>
          <w:color w:val="000000" w:themeColor="text1"/>
        </w:rPr>
        <w:t xml:space="preserve">, </w:t>
      </w:r>
      <w:r w:rsidR="00CF4186">
        <w:rPr>
          <w:color w:val="000000" w:themeColor="text1"/>
        </w:rPr>
        <w:t xml:space="preserve">the Library of Citizen Engagement </w:t>
      </w:r>
      <w:r w:rsidR="005B5E97">
        <w:rPr>
          <w:color w:val="000000" w:themeColor="text1"/>
        </w:rPr>
        <w:t xml:space="preserve">and the Food Sharing Community of Practice </w:t>
      </w:r>
      <w:r w:rsidR="00724B8F">
        <w:rPr>
          <w:color w:val="000000" w:themeColor="text1"/>
        </w:rPr>
        <w:t>by</w:t>
      </w:r>
      <w:r w:rsidR="00CF4186">
        <w:rPr>
          <w:color w:val="000000" w:themeColor="text1"/>
        </w:rPr>
        <w:t xml:space="preserve"> </w:t>
      </w:r>
      <w:r w:rsidR="005B5E97">
        <w:rPr>
          <w:color w:val="000000" w:themeColor="text1"/>
        </w:rPr>
        <w:t xml:space="preserve">key </w:t>
      </w:r>
      <w:r w:rsidR="00CF4186">
        <w:rPr>
          <w:color w:val="000000" w:themeColor="text1"/>
        </w:rPr>
        <w:t>user groups</w:t>
      </w:r>
      <w:r w:rsidR="005B5E97">
        <w:rPr>
          <w:color w:val="000000" w:themeColor="text1"/>
        </w:rPr>
        <w:t>.</w:t>
      </w:r>
      <w:r w:rsidR="00755E30">
        <w:rPr>
          <w:color w:val="000000" w:themeColor="text1"/>
        </w:rPr>
        <w:t xml:space="preserve"> </w:t>
      </w:r>
      <w:r w:rsidR="00724B8F">
        <w:rPr>
          <w:color w:val="000000" w:themeColor="text1"/>
        </w:rPr>
        <w:t xml:space="preserve">These include municipalities, food supply actors, </w:t>
      </w:r>
      <w:r w:rsidR="00F66B13">
        <w:rPr>
          <w:color w:val="000000" w:themeColor="text1"/>
        </w:rPr>
        <w:t>food sharing initiatives, citizens and researchers.</w:t>
      </w:r>
      <w:r w:rsidR="001D5248">
        <w:rPr>
          <w:color w:val="000000" w:themeColor="text1"/>
        </w:rPr>
        <w:t xml:space="preserve"> </w:t>
      </w:r>
      <w:r w:rsidR="00955C66">
        <w:rPr>
          <w:color w:val="000000" w:themeColor="text1"/>
        </w:rPr>
        <w:t>Other</w:t>
      </w:r>
      <w:r w:rsidR="00486833">
        <w:rPr>
          <w:color w:val="000000" w:themeColor="text1"/>
        </w:rPr>
        <w:t xml:space="preserve"> duties include</w:t>
      </w:r>
      <w:r w:rsidR="00EA2732">
        <w:rPr>
          <w:color w:val="000000" w:themeColor="text1"/>
        </w:rPr>
        <w:t>:</w:t>
      </w:r>
      <w:r w:rsidR="00486833">
        <w:rPr>
          <w:color w:val="000000" w:themeColor="text1"/>
        </w:rPr>
        <w:t xml:space="preserve"> </w:t>
      </w:r>
      <w:r w:rsidR="00DB1CA0">
        <w:rPr>
          <w:color w:val="000000" w:themeColor="text1"/>
        </w:rPr>
        <w:t>convening</w:t>
      </w:r>
      <w:r w:rsidR="00AE513D">
        <w:rPr>
          <w:color w:val="000000" w:themeColor="text1"/>
        </w:rPr>
        <w:t xml:space="preserve"> meetings of Compass tool owners</w:t>
      </w:r>
      <w:r w:rsidR="00955C66">
        <w:rPr>
          <w:color w:val="000000" w:themeColor="text1"/>
        </w:rPr>
        <w:t xml:space="preserve"> as needed</w:t>
      </w:r>
      <w:r w:rsidR="00AE513D">
        <w:rPr>
          <w:color w:val="000000" w:themeColor="text1"/>
        </w:rPr>
        <w:t xml:space="preserve">, </w:t>
      </w:r>
      <w:r w:rsidR="0081208E">
        <w:rPr>
          <w:color w:val="000000" w:themeColor="text1"/>
        </w:rPr>
        <w:t xml:space="preserve">supporting the development of partnerships to expand usage of tools, </w:t>
      </w:r>
      <w:r w:rsidR="00330EED">
        <w:rPr>
          <w:color w:val="000000" w:themeColor="text1"/>
        </w:rPr>
        <w:t xml:space="preserve">representing the </w:t>
      </w:r>
      <w:r w:rsidR="00DB1CA0">
        <w:rPr>
          <w:color w:val="000000" w:themeColor="text1"/>
        </w:rPr>
        <w:t>Compass</w:t>
      </w:r>
      <w:r w:rsidR="00330EED">
        <w:rPr>
          <w:color w:val="000000" w:themeColor="text1"/>
        </w:rPr>
        <w:t xml:space="preserve"> at</w:t>
      </w:r>
      <w:r w:rsidR="0084372E">
        <w:rPr>
          <w:color w:val="000000" w:themeColor="text1"/>
        </w:rPr>
        <w:t xml:space="preserve"> </w:t>
      </w:r>
      <w:r w:rsidR="00C560D9">
        <w:rPr>
          <w:color w:val="000000" w:themeColor="text1"/>
        </w:rPr>
        <w:t>conferences</w:t>
      </w:r>
      <w:r w:rsidR="00EA2732">
        <w:rPr>
          <w:color w:val="000000" w:themeColor="text1"/>
        </w:rPr>
        <w:t xml:space="preserve"> and</w:t>
      </w:r>
      <w:r w:rsidR="00C560D9">
        <w:rPr>
          <w:color w:val="000000" w:themeColor="text1"/>
        </w:rPr>
        <w:t xml:space="preserve"> networking events</w:t>
      </w:r>
      <w:r w:rsidR="00EA2732">
        <w:rPr>
          <w:color w:val="000000" w:themeColor="text1"/>
        </w:rPr>
        <w:t xml:space="preserve">; </w:t>
      </w:r>
      <w:r w:rsidR="007C0321">
        <w:rPr>
          <w:color w:val="000000" w:themeColor="text1"/>
        </w:rPr>
        <w:t xml:space="preserve">supporting mapping and sustainability impact assessment activities; </w:t>
      </w:r>
      <w:r w:rsidR="00EA2732">
        <w:rPr>
          <w:color w:val="000000" w:themeColor="text1"/>
        </w:rPr>
        <w:t xml:space="preserve">and developing funding applications to </w:t>
      </w:r>
      <w:r w:rsidR="00956712">
        <w:rPr>
          <w:color w:val="000000" w:themeColor="text1"/>
        </w:rPr>
        <w:t>resource the Compass tools and their management until 2030.</w:t>
      </w:r>
      <w:r w:rsidR="0090193A">
        <w:rPr>
          <w:color w:val="000000" w:themeColor="text1"/>
        </w:rPr>
        <w:t xml:space="preserve"> </w:t>
      </w:r>
      <w:r w:rsidR="00B11D0A">
        <w:rPr>
          <w:color w:val="000000" w:themeColor="text1"/>
        </w:rPr>
        <w:t>A</w:t>
      </w:r>
      <w:r w:rsidR="0057228C">
        <w:rPr>
          <w:color w:val="000000" w:themeColor="text1"/>
        </w:rPr>
        <w:t xml:space="preserve"> six-month contract in the first instance </w:t>
      </w:r>
      <w:r w:rsidR="00B11D0A">
        <w:rPr>
          <w:color w:val="000000" w:themeColor="text1"/>
        </w:rPr>
        <w:t>this role may be extended</w:t>
      </w:r>
      <w:r w:rsidR="0057228C">
        <w:rPr>
          <w:color w:val="000000" w:themeColor="text1"/>
        </w:rPr>
        <w:t xml:space="preserve"> depending on funding.</w:t>
      </w:r>
      <w:r w:rsidR="00087426">
        <w:rPr>
          <w:color w:val="000000" w:themeColor="text1"/>
        </w:rPr>
        <w:t xml:space="preserve"> Successful candidates will be required to be based in Ireland for the duration of the post.</w:t>
      </w:r>
    </w:p>
    <w:p w14:paraId="56CE9103" w14:textId="77777777" w:rsidR="003B43F2" w:rsidRPr="00700564" w:rsidRDefault="003B43F2" w:rsidP="003B43F2">
      <w:pPr>
        <w:rPr>
          <w:color w:val="000000" w:themeColor="text1"/>
        </w:rPr>
      </w:pPr>
    </w:p>
    <w:p w14:paraId="6630096F" w14:textId="77777777" w:rsidR="006037E5" w:rsidRDefault="00DB1123" w:rsidP="006037E5">
      <w:pPr>
        <w:rPr>
          <w:b/>
          <w:color w:val="000000" w:themeColor="text1"/>
        </w:rPr>
      </w:pPr>
      <w:r w:rsidRPr="00DB1123">
        <w:rPr>
          <w:b/>
          <w:color w:val="000000" w:themeColor="text1"/>
        </w:rPr>
        <w:t>Standard Duties and Responsibilities of the Post</w:t>
      </w:r>
    </w:p>
    <w:p w14:paraId="5B09B98D" w14:textId="77777777" w:rsidR="000F2A8C" w:rsidRPr="003B78CD" w:rsidRDefault="000F2A8C" w:rsidP="000F2A8C">
      <w:pPr>
        <w:rPr>
          <w:rFonts w:cstheme="minorHAnsi"/>
          <w:color w:val="000000" w:themeColor="text1"/>
        </w:rPr>
      </w:pPr>
      <w:r w:rsidRPr="003B78CD">
        <w:rPr>
          <w:rFonts w:cstheme="minorHAnsi"/>
          <w:color w:val="000000" w:themeColor="text1"/>
        </w:rPr>
        <w:t xml:space="preserve">The successful candidate will: </w:t>
      </w:r>
    </w:p>
    <w:p w14:paraId="58652FF5" w14:textId="65CABCD3" w:rsidR="00A26207" w:rsidRPr="00A26207" w:rsidRDefault="00A55A02" w:rsidP="00A26207">
      <w:pPr>
        <w:pStyle w:val="ListParagraph"/>
        <w:numPr>
          <w:ilvl w:val="0"/>
          <w:numId w:val="23"/>
        </w:numPr>
        <w:rPr>
          <w:rFonts w:cstheme="minorHAnsi"/>
        </w:rPr>
      </w:pPr>
      <w:r w:rsidRPr="00A26207">
        <w:rPr>
          <w:rFonts w:cstheme="minorHAnsi"/>
        </w:rPr>
        <w:t xml:space="preserve">Develop and implement </w:t>
      </w:r>
      <w:r w:rsidR="00B11D0A">
        <w:rPr>
          <w:rFonts w:cstheme="minorHAnsi"/>
        </w:rPr>
        <w:t>social</w:t>
      </w:r>
      <w:r w:rsidRPr="00A26207">
        <w:rPr>
          <w:rFonts w:cstheme="minorHAnsi"/>
        </w:rPr>
        <w:t xml:space="preserve"> </w:t>
      </w:r>
      <w:r w:rsidR="0056059C">
        <w:rPr>
          <w:rFonts w:cstheme="minorHAnsi"/>
        </w:rPr>
        <w:t xml:space="preserve">media </w:t>
      </w:r>
      <w:r w:rsidR="00B11D0A">
        <w:rPr>
          <w:rFonts w:cstheme="minorHAnsi"/>
        </w:rPr>
        <w:t>campaigns</w:t>
      </w:r>
      <w:r w:rsidRPr="00A26207">
        <w:rPr>
          <w:rFonts w:cstheme="minorHAnsi"/>
        </w:rPr>
        <w:t xml:space="preserve"> for promoting the Compass</w:t>
      </w:r>
      <w:r w:rsidR="00A26207" w:rsidRPr="00A26207">
        <w:rPr>
          <w:rFonts w:cstheme="minorHAnsi"/>
        </w:rPr>
        <w:t xml:space="preserve"> and its</w:t>
      </w:r>
      <w:r w:rsidRPr="00A26207">
        <w:rPr>
          <w:rFonts w:cstheme="minorHAnsi"/>
        </w:rPr>
        <w:t xml:space="preserve"> tools</w:t>
      </w:r>
    </w:p>
    <w:p w14:paraId="1F2036BC" w14:textId="49483C5E" w:rsidR="000F2A8C" w:rsidRPr="00A26207" w:rsidRDefault="00A26207" w:rsidP="00A26207">
      <w:pPr>
        <w:pStyle w:val="ListParagraph"/>
        <w:numPr>
          <w:ilvl w:val="0"/>
          <w:numId w:val="23"/>
        </w:numPr>
        <w:rPr>
          <w:rFonts w:cstheme="minorHAnsi"/>
        </w:rPr>
      </w:pPr>
      <w:r w:rsidRPr="00A26207">
        <w:rPr>
          <w:rFonts w:cstheme="minorHAnsi"/>
        </w:rPr>
        <w:t xml:space="preserve">Develop and implement </w:t>
      </w:r>
      <w:r>
        <w:rPr>
          <w:rFonts w:cstheme="minorHAnsi"/>
        </w:rPr>
        <w:t xml:space="preserve">a mechanism for </w:t>
      </w:r>
      <w:r w:rsidR="006E290F" w:rsidRPr="00A26207">
        <w:rPr>
          <w:rFonts w:cstheme="minorHAnsi"/>
        </w:rPr>
        <w:t xml:space="preserve">tracking </w:t>
      </w:r>
      <w:r w:rsidR="00D13BEC">
        <w:rPr>
          <w:rFonts w:cstheme="minorHAnsi"/>
        </w:rPr>
        <w:t xml:space="preserve">the results of these campaigns </w:t>
      </w:r>
    </w:p>
    <w:p w14:paraId="0C00E9B5" w14:textId="06B380E3" w:rsidR="000F2A8C" w:rsidRPr="00A26207" w:rsidRDefault="00436579" w:rsidP="00A26207">
      <w:pPr>
        <w:pStyle w:val="ListParagraph"/>
        <w:numPr>
          <w:ilvl w:val="0"/>
          <w:numId w:val="23"/>
        </w:numPr>
        <w:rPr>
          <w:rFonts w:cstheme="minorHAnsi"/>
        </w:rPr>
      </w:pPr>
      <w:r>
        <w:rPr>
          <w:rFonts w:cstheme="minorHAnsi"/>
        </w:rPr>
        <w:t>P</w:t>
      </w:r>
      <w:r w:rsidR="000F2A8C" w:rsidRPr="00A26207">
        <w:rPr>
          <w:rFonts w:cstheme="minorHAnsi"/>
        </w:rPr>
        <w:t xml:space="preserve">articipate in international meetings </w:t>
      </w:r>
      <w:r w:rsidR="0034302A">
        <w:rPr>
          <w:rFonts w:cstheme="minorHAnsi"/>
        </w:rPr>
        <w:t xml:space="preserve">and events </w:t>
      </w:r>
      <w:r w:rsidR="000F2A8C" w:rsidRPr="00A26207">
        <w:rPr>
          <w:rFonts w:cstheme="minorHAnsi"/>
        </w:rPr>
        <w:t>as required</w:t>
      </w:r>
      <w:r w:rsidR="007C0321">
        <w:rPr>
          <w:rFonts w:cstheme="minorHAnsi"/>
        </w:rPr>
        <w:t xml:space="preserve"> to promote the Compass</w:t>
      </w:r>
    </w:p>
    <w:p w14:paraId="54DCDB9A" w14:textId="30C055A0" w:rsidR="000F2A8C" w:rsidRDefault="000F2A8C" w:rsidP="00A26207">
      <w:pPr>
        <w:pStyle w:val="ListParagraph"/>
        <w:numPr>
          <w:ilvl w:val="0"/>
          <w:numId w:val="23"/>
        </w:numPr>
        <w:rPr>
          <w:rFonts w:cstheme="minorHAnsi"/>
        </w:rPr>
      </w:pPr>
      <w:r w:rsidRPr="00A26207">
        <w:rPr>
          <w:rFonts w:cstheme="minorHAnsi"/>
        </w:rPr>
        <w:t xml:space="preserve">Help prepare </w:t>
      </w:r>
      <w:r w:rsidR="006552C8" w:rsidRPr="00A26207">
        <w:rPr>
          <w:rFonts w:cstheme="minorHAnsi"/>
        </w:rPr>
        <w:t>funding</w:t>
      </w:r>
      <w:r w:rsidRPr="00A26207">
        <w:rPr>
          <w:rFonts w:cstheme="minorHAnsi"/>
        </w:rPr>
        <w:t xml:space="preserve"> proposals </w:t>
      </w:r>
      <w:r w:rsidR="002D4D87" w:rsidRPr="00A26207">
        <w:rPr>
          <w:rFonts w:cstheme="minorHAnsi"/>
        </w:rPr>
        <w:t xml:space="preserve">to maintain and </w:t>
      </w:r>
      <w:r w:rsidR="00364E0E">
        <w:rPr>
          <w:rFonts w:cstheme="minorHAnsi"/>
        </w:rPr>
        <w:t xml:space="preserve">expand </w:t>
      </w:r>
      <w:r w:rsidR="002D4D87" w:rsidRPr="00A26207">
        <w:rPr>
          <w:rFonts w:cstheme="minorHAnsi"/>
        </w:rPr>
        <w:t>the Compass</w:t>
      </w:r>
      <w:r w:rsidR="00364E0E">
        <w:rPr>
          <w:rFonts w:cstheme="minorHAnsi"/>
        </w:rPr>
        <w:t xml:space="preserve"> tools</w:t>
      </w:r>
      <w:r w:rsidR="004A0055">
        <w:rPr>
          <w:rFonts w:cstheme="minorHAnsi"/>
        </w:rPr>
        <w:t>, including convening meetings with Compass tool owners</w:t>
      </w:r>
    </w:p>
    <w:p w14:paraId="38839BFA" w14:textId="1C0BA1E0" w:rsidR="000C72B0" w:rsidRDefault="000C72B0" w:rsidP="00A26207">
      <w:pPr>
        <w:pStyle w:val="ListParagraph"/>
        <w:numPr>
          <w:ilvl w:val="0"/>
          <w:numId w:val="23"/>
        </w:numPr>
        <w:rPr>
          <w:rFonts w:cstheme="minorHAnsi"/>
        </w:rPr>
      </w:pPr>
      <w:r>
        <w:rPr>
          <w:rFonts w:cstheme="minorHAnsi"/>
        </w:rPr>
        <w:t xml:space="preserve">Support the </w:t>
      </w:r>
      <w:r w:rsidR="0022527C">
        <w:rPr>
          <w:rFonts w:cstheme="minorHAnsi"/>
        </w:rPr>
        <w:t xml:space="preserve">rolling out </w:t>
      </w:r>
      <w:r w:rsidR="00B944F2">
        <w:rPr>
          <w:rFonts w:cstheme="minorHAnsi"/>
        </w:rPr>
        <w:t xml:space="preserve">of mapping and </w:t>
      </w:r>
      <w:r w:rsidR="0022527C">
        <w:rPr>
          <w:rFonts w:cstheme="minorHAnsi"/>
        </w:rPr>
        <w:t>sustainability impact assessment services</w:t>
      </w:r>
    </w:p>
    <w:p w14:paraId="4F5FA232" w14:textId="60AA33F5" w:rsidR="0034302A" w:rsidRPr="00436579" w:rsidRDefault="0034302A" w:rsidP="00436579">
      <w:pPr>
        <w:pStyle w:val="ListParagraph"/>
        <w:numPr>
          <w:ilvl w:val="0"/>
          <w:numId w:val="23"/>
        </w:numPr>
        <w:rPr>
          <w:rFonts w:cstheme="minorHAnsi"/>
        </w:rPr>
      </w:pPr>
      <w:r w:rsidRPr="00A26207">
        <w:rPr>
          <w:rFonts w:cstheme="minorHAnsi"/>
        </w:rPr>
        <w:t xml:space="preserve">Carry out any administrative work </w:t>
      </w:r>
      <w:r>
        <w:rPr>
          <w:rFonts w:cstheme="minorHAnsi"/>
        </w:rPr>
        <w:t xml:space="preserve">associated with the role </w:t>
      </w:r>
      <w:r w:rsidRPr="00A26207">
        <w:rPr>
          <w:rFonts w:cstheme="minorHAnsi"/>
        </w:rPr>
        <w:t xml:space="preserve">and assist with wider project </w:t>
      </w:r>
      <w:r>
        <w:rPr>
          <w:rFonts w:cstheme="minorHAnsi"/>
        </w:rPr>
        <w:t>activities</w:t>
      </w:r>
      <w:r w:rsidRPr="00A26207">
        <w:rPr>
          <w:rFonts w:cstheme="minorHAnsi"/>
        </w:rPr>
        <w:t xml:space="preserve"> </w:t>
      </w:r>
      <w:r>
        <w:rPr>
          <w:rFonts w:cstheme="minorHAnsi"/>
        </w:rPr>
        <w:t>as</w:t>
      </w:r>
      <w:r w:rsidRPr="00A26207">
        <w:rPr>
          <w:rFonts w:cstheme="minorHAnsi"/>
        </w:rPr>
        <w:t xml:space="preserve"> required</w:t>
      </w:r>
    </w:p>
    <w:p w14:paraId="29DAEA9A" w14:textId="77777777" w:rsidR="000F2A8C" w:rsidRDefault="000F2A8C" w:rsidP="003B43F2">
      <w:pPr>
        <w:rPr>
          <w:b/>
          <w:color w:val="000000" w:themeColor="text1"/>
        </w:rPr>
      </w:pPr>
    </w:p>
    <w:p w14:paraId="381C58B1" w14:textId="20459E69" w:rsidR="003B43F2" w:rsidRPr="00DB1123" w:rsidRDefault="003B43F2" w:rsidP="003B43F2">
      <w:pPr>
        <w:rPr>
          <w:b/>
          <w:color w:val="000000" w:themeColor="text1"/>
        </w:rPr>
      </w:pPr>
      <w:r w:rsidRPr="00DB1123">
        <w:rPr>
          <w:b/>
          <w:color w:val="000000" w:themeColor="text1"/>
        </w:rPr>
        <w:t>Funding Information</w:t>
      </w:r>
    </w:p>
    <w:p w14:paraId="3283524C" w14:textId="62D60D21" w:rsidR="003B43F2" w:rsidRDefault="003B43F2" w:rsidP="003B43F2">
      <w:pPr>
        <w:rPr>
          <w:color w:val="000000" w:themeColor="text1"/>
        </w:rPr>
      </w:pPr>
      <w:r>
        <w:rPr>
          <w:color w:val="000000" w:themeColor="text1"/>
        </w:rPr>
        <w:t>Horizon Europe Innovation Action</w:t>
      </w:r>
      <w:r w:rsidR="000F2A8C">
        <w:rPr>
          <w:color w:val="000000" w:themeColor="text1"/>
        </w:rPr>
        <w:t xml:space="preserve"> CULTIVATE</w:t>
      </w:r>
    </w:p>
    <w:p w14:paraId="72F8F8D6" w14:textId="77777777" w:rsidR="003B43F2" w:rsidRDefault="003B43F2" w:rsidP="003B43F2">
      <w:pPr>
        <w:rPr>
          <w:color w:val="000000" w:themeColor="text1"/>
        </w:rPr>
      </w:pPr>
    </w:p>
    <w:p w14:paraId="546F11AB" w14:textId="77777777" w:rsidR="003B43F2" w:rsidRPr="00DB1123" w:rsidRDefault="003B43F2" w:rsidP="003B43F2">
      <w:pPr>
        <w:rPr>
          <w:b/>
          <w:color w:val="000000" w:themeColor="text1"/>
        </w:rPr>
      </w:pPr>
      <w:r w:rsidRPr="00DB1123">
        <w:rPr>
          <w:b/>
          <w:color w:val="000000" w:themeColor="text1"/>
        </w:rPr>
        <w:t>Person Specification</w:t>
      </w:r>
    </w:p>
    <w:p w14:paraId="1C2D7F64" w14:textId="2A51E310" w:rsidR="000B110F" w:rsidRDefault="000B110F" w:rsidP="00A70BD3">
      <w:pPr>
        <w:pStyle w:val="ListParagraph"/>
        <w:numPr>
          <w:ilvl w:val="0"/>
          <w:numId w:val="24"/>
        </w:numPr>
      </w:pPr>
      <w:r>
        <w:t>K</w:t>
      </w:r>
      <w:r w:rsidR="00953725">
        <w:t xml:space="preserve">nowledge of food systems, particularly urban food systems, and alternative food networks such as food sharing </w:t>
      </w:r>
      <w:r w:rsidR="00A70BD3">
        <w:t>and a c</w:t>
      </w:r>
      <w:r w:rsidR="00161962">
        <w:t>ommitment to</w:t>
      </w:r>
      <w:r w:rsidR="00C91CAF">
        <w:t xml:space="preserve"> food system sustainability</w:t>
      </w:r>
    </w:p>
    <w:p w14:paraId="5CF46E17" w14:textId="341E9EFC" w:rsidR="000B7C62" w:rsidRDefault="000B110F" w:rsidP="00267D6D">
      <w:pPr>
        <w:pStyle w:val="ListParagraph"/>
        <w:numPr>
          <w:ilvl w:val="0"/>
          <w:numId w:val="24"/>
        </w:numPr>
      </w:pPr>
      <w:r>
        <w:t>A</w:t>
      </w:r>
      <w:r w:rsidR="00267D6D">
        <w:t>wareness of</w:t>
      </w:r>
      <w:r w:rsidR="00C91CAF">
        <w:t xml:space="preserve"> impact assessment approaches</w:t>
      </w:r>
      <w:r w:rsidR="00267D6D">
        <w:t xml:space="preserve">, </w:t>
      </w:r>
      <w:r w:rsidR="00B944F2" w:rsidRPr="00B944F2">
        <w:t xml:space="preserve">regulatory and </w:t>
      </w:r>
      <w:r w:rsidR="00267D6D">
        <w:t>CSRD/</w:t>
      </w:r>
      <w:r w:rsidR="00B944F2" w:rsidRPr="00B944F2">
        <w:t xml:space="preserve">ESG </w:t>
      </w:r>
      <w:r w:rsidR="00267D6D">
        <w:t>issues</w:t>
      </w:r>
      <w:r>
        <w:t xml:space="preserve"> related to food</w:t>
      </w:r>
    </w:p>
    <w:p w14:paraId="6CA435CF" w14:textId="77777777" w:rsidR="00FA1686" w:rsidRDefault="00EE58A1" w:rsidP="00953725">
      <w:pPr>
        <w:pStyle w:val="ListParagraph"/>
        <w:numPr>
          <w:ilvl w:val="0"/>
          <w:numId w:val="24"/>
        </w:numPr>
      </w:pPr>
      <w:r>
        <w:t>Strong</w:t>
      </w:r>
      <w:r w:rsidR="009D4714">
        <w:t xml:space="preserve"> k</w:t>
      </w:r>
      <w:r w:rsidR="00FB3255">
        <w:t xml:space="preserve">nowledge of communications, dissemination and exploitation approaches </w:t>
      </w:r>
    </w:p>
    <w:p w14:paraId="59B7A619" w14:textId="1514D8AF" w:rsidR="000B7C62" w:rsidRDefault="00FA1686" w:rsidP="00953725">
      <w:pPr>
        <w:pStyle w:val="ListParagraph"/>
        <w:numPr>
          <w:ilvl w:val="0"/>
          <w:numId w:val="24"/>
        </w:numPr>
      </w:pPr>
      <w:r>
        <w:t>E</w:t>
      </w:r>
      <w:r w:rsidR="00FB3255">
        <w:t>xperience in conducting media and/or social media campaigns</w:t>
      </w:r>
      <w:r w:rsidR="00230674">
        <w:t xml:space="preserve"> </w:t>
      </w:r>
      <w:r w:rsidR="00953725">
        <w:t xml:space="preserve"> </w:t>
      </w:r>
    </w:p>
    <w:p w14:paraId="6D871FDB" w14:textId="1C2EEAA4" w:rsidR="004B60C4" w:rsidRDefault="00C91CAF" w:rsidP="00953725">
      <w:pPr>
        <w:pStyle w:val="ListParagraph"/>
        <w:numPr>
          <w:ilvl w:val="0"/>
          <w:numId w:val="24"/>
        </w:numPr>
      </w:pPr>
      <w:r>
        <w:t>E</w:t>
      </w:r>
      <w:r w:rsidR="00353435">
        <w:t>xcellent</w:t>
      </w:r>
      <w:r w:rsidR="00953725">
        <w:t xml:space="preserve"> communication and interpersonal skills with the capability of working within a project team to achieve results</w:t>
      </w:r>
    </w:p>
    <w:p w14:paraId="6D21BC24" w14:textId="77777777" w:rsidR="00C16F8F" w:rsidRDefault="00953725" w:rsidP="00953725">
      <w:pPr>
        <w:pStyle w:val="ListParagraph"/>
        <w:numPr>
          <w:ilvl w:val="0"/>
          <w:numId w:val="24"/>
        </w:numPr>
      </w:pPr>
      <w:r>
        <w:t>Demonstrates an ability to manage self, time, and own resources to enable a high level of personal effectiveness</w:t>
      </w:r>
    </w:p>
    <w:p w14:paraId="0D51B544" w14:textId="77777777" w:rsidR="003B6A6B" w:rsidRDefault="00953725" w:rsidP="003B6A6B">
      <w:pPr>
        <w:pStyle w:val="ListParagraph"/>
        <w:numPr>
          <w:ilvl w:val="0"/>
          <w:numId w:val="24"/>
        </w:numPr>
      </w:pPr>
      <w:r>
        <w:t>Demonstrates a commitment to develop</w:t>
      </w:r>
      <w:r w:rsidR="00C16F8F">
        <w:t xml:space="preserve">ing </w:t>
      </w:r>
      <w:r>
        <w:t>transferable skills</w:t>
      </w:r>
      <w:r w:rsidR="00C16F8F">
        <w:t xml:space="preserve"> </w:t>
      </w:r>
    </w:p>
    <w:p w14:paraId="301A92AF" w14:textId="6108067E" w:rsidR="006F6390" w:rsidRPr="000E662E" w:rsidRDefault="006F6390" w:rsidP="003B6A6B">
      <w:pPr>
        <w:pStyle w:val="ListParagraph"/>
        <w:numPr>
          <w:ilvl w:val="0"/>
          <w:numId w:val="24"/>
        </w:numPr>
      </w:pPr>
      <w:r w:rsidRPr="003B6A6B">
        <w:rPr>
          <w:color w:val="000000" w:themeColor="text1"/>
        </w:rPr>
        <w:t xml:space="preserve">Experience of </w:t>
      </w:r>
      <w:r w:rsidR="00B44878" w:rsidRPr="003B6A6B">
        <w:rPr>
          <w:color w:val="000000" w:themeColor="text1"/>
        </w:rPr>
        <w:t>managing</w:t>
      </w:r>
      <w:r w:rsidRPr="003B6A6B">
        <w:rPr>
          <w:color w:val="000000" w:themeColor="text1"/>
        </w:rPr>
        <w:t xml:space="preserve"> </w:t>
      </w:r>
      <w:r w:rsidR="003B6A6B">
        <w:rPr>
          <w:color w:val="000000" w:themeColor="text1"/>
        </w:rPr>
        <w:t xml:space="preserve">and interacting with </w:t>
      </w:r>
      <w:r w:rsidRPr="003B6A6B">
        <w:rPr>
          <w:color w:val="000000" w:themeColor="text1"/>
        </w:rPr>
        <w:t>web-based platforms</w:t>
      </w:r>
      <w:r w:rsidR="00B44878" w:rsidRPr="003B6A6B">
        <w:rPr>
          <w:color w:val="000000" w:themeColor="text1"/>
        </w:rPr>
        <w:t xml:space="preserve"> (websites, social media, apps etc.)</w:t>
      </w:r>
      <w:r w:rsidR="003B6A6B">
        <w:rPr>
          <w:color w:val="000000" w:themeColor="text1"/>
        </w:rPr>
        <w:t xml:space="preserve"> is desirable</w:t>
      </w:r>
      <w:r w:rsidR="00736A8B">
        <w:rPr>
          <w:color w:val="000000" w:themeColor="text1"/>
        </w:rPr>
        <w:t>. T</w:t>
      </w:r>
      <w:r w:rsidR="002F3D70">
        <w:rPr>
          <w:color w:val="000000" w:themeColor="text1"/>
        </w:rPr>
        <w:t>his is not a technical role and coding skills are not required</w:t>
      </w:r>
      <w:r w:rsidR="003B6A6B">
        <w:rPr>
          <w:color w:val="000000" w:themeColor="text1"/>
        </w:rPr>
        <w:t xml:space="preserve"> </w:t>
      </w:r>
      <w:r w:rsidR="00736A8B">
        <w:rPr>
          <w:color w:val="000000" w:themeColor="text1"/>
        </w:rPr>
        <w:t xml:space="preserve">but </w:t>
      </w:r>
      <w:r w:rsidR="00306442">
        <w:rPr>
          <w:color w:val="000000" w:themeColor="text1"/>
        </w:rPr>
        <w:t>an ability to work</w:t>
      </w:r>
      <w:r w:rsidR="00736A8B">
        <w:rPr>
          <w:color w:val="000000" w:themeColor="text1"/>
        </w:rPr>
        <w:t xml:space="preserve"> with technical specialists</w:t>
      </w:r>
      <w:r w:rsidR="00306442">
        <w:rPr>
          <w:color w:val="000000" w:themeColor="text1"/>
        </w:rPr>
        <w:t xml:space="preserve"> is needed</w:t>
      </w:r>
      <w:r w:rsidR="00736A8B">
        <w:rPr>
          <w:color w:val="000000" w:themeColor="text1"/>
        </w:rPr>
        <w:t>.</w:t>
      </w:r>
    </w:p>
    <w:p w14:paraId="75014F14" w14:textId="32B4B05E" w:rsidR="000E662E" w:rsidRPr="000E662E" w:rsidRDefault="000E662E" w:rsidP="003B6A6B">
      <w:pPr>
        <w:pStyle w:val="ListParagraph"/>
        <w:numPr>
          <w:ilvl w:val="0"/>
          <w:numId w:val="24"/>
        </w:numPr>
      </w:pPr>
      <w:r>
        <w:rPr>
          <w:color w:val="000000" w:themeColor="text1"/>
        </w:rPr>
        <w:t>Excellent written and oral communication skills</w:t>
      </w:r>
    </w:p>
    <w:p w14:paraId="0AB6D43A" w14:textId="57C5639A" w:rsidR="000E662E" w:rsidRPr="00161962" w:rsidRDefault="000E662E" w:rsidP="003B6A6B">
      <w:pPr>
        <w:pStyle w:val="ListParagraph"/>
        <w:numPr>
          <w:ilvl w:val="0"/>
          <w:numId w:val="24"/>
        </w:numPr>
      </w:pPr>
      <w:r>
        <w:rPr>
          <w:color w:val="000000" w:themeColor="text1"/>
        </w:rPr>
        <w:t>Quantitative and qualitative research skills</w:t>
      </w:r>
      <w:r w:rsidR="004B37DA">
        <w:rPr>
          <w:color w:val="000000" w:themeColor="text1"/>
        </w:rPr>
        <w:t xml:space="preserve">, and </w:t>
      </w:r>
      <w:r w:rsidR="00306442">
        <w:rPr>
          <w:color w:val="000000" w:themeColor="text1"/>
        </w:rPr>
        <w:t xml:space="preserve">experience of </w:t>
      </w:r>
      <w:r w:rsidR="004B37DA">
        <w:rPr>
          <w:color w:val="000000" w:themeColor="text1"/>
        </w:rPr>
        <w:t xml:space="preserve">associated tools </w:t>
      </w:r>
    </w:p>
    <w:p w14:paraId="69650BED" w14:textId="101AA184" w:rsidR="00161962" w:rsidRPr="003B6A6B" w:rsidRDefault="00161962" w:rsidP="00161962">
      <w:pPr>
        <w:pStyle w:val="ListParagraph"/>
        <w:numPr>
          <w:ilvl w:val="0"/>
          <w:numId w:val="24"/>
        </w:numPr>
      </w:pPr>
      <w:r>
        <w:t>Experience of funding applications, commercialisation or start-up processes would be desirable</w:t>
      </w:r>
    </w:p>
    <w:p w14:paraId="26727AC5" w14:textId="77777777" w:rsidR="00953725" w:rsidRDefault="00953725" w:rsidP="00953725">
      <w:pPr>
        <w:rPr>
          <w:color w:val="000000" w:themeColor="text1"/>
        </w:rPr>
      </w:pPr>
    </w:p>
    <w:p w14:paraId="10DC99E2" w14:textId="77777777" w:rsidR="00953725" w:rsidRPr="00645CF5" w:rsidRDefault="00953725" w:rsidP="00953725">
      <w:pPr>
        <w:rPr>
          <w:b/>
          <w:bCs/>
          <w:color w:val="000000" w:themeColor="text1"/>
        </w:rPr>
      </w:pPr>
      <w:r w:rsidRPr="00645CF5">
        <w:rPr>
          <w:b/>
          <w:bCs/>
          <w:color w:val="000000" w:themeColor="text1"/>
        </w:rPr>
        <w:t>Application Procedure</w:t>
      </w:r>
    </w:p>
    <w:p w14:paraId="2FDBF2F1" w14:textId="77777777" w:rsidR="00087426" w:rsidRPr="00A519F4" w:rsidRDefault="00087426" w:rsidP="00087426">
      <w:pPr>
        <w:rPr>
          <w:color w:val="000000" w:themeColor="text1"/>
        </w:rPr>
      </w:pPr>
      <w:r>
        <w:rPr>
          <w:color w:val="000000" w:themeColor="text1"/>
        </w:rPr>
        <w:t xml:space="preserve">Informal enquiries about the post can be sent to: Anna Davies </w:t>
      </w:r>
      <w:hyperlink r:id="rId9" w:history="1">
        <w:r w:rsidRPr="00676597">
          <w:rPr>
            <w:rStyle w:val="Hyperlink"/>
          </w:rPr>
          <w:t>daviesa@tcd.ie</w:t>
        </w:r>
      </w:hyperlink>
      <w:r>
        <w:rPr>
          <w:color w:val="000000" w:themeColor="text1"/>
        </w:rPr>
        <w:t xml:space="preserve"> </w:t>
      </w:r>
    </w:p>
    <w:p w14:paraId="3DA64CC5" w14:textId="77777777" w:rsidR="00087426" w:rsidRDefault="00087426" w:rsidP="006037E5">
      <w:pPr>
        <w:rPr>
          <w:color w:val="000000" w:themeColor="text1"/>
        </w:rPr>
      </w:pPr>
    </w:p>
    <w:p w14:paraId="3D9B206C" w14:textId="3598B00A" w:rsidR="00DB1123" w:rsidRDefault="00953725" w:rsidP="006037E5">
      <w:pPr>
        <w:rPr>
          <w:color w:val="000000" w:themeColor="text1"/>
        </w:rPr>
      </w:pPr>
      <w:r w:rsidRPr="00645CF5">
        <w:rPr>
          <w:color w:val="000000" w:themeColor="text1"/>
        </w:rPr>
        <w:t xml:space="preserve">Applicants should submit </w:t>
      </w:r>
      <w:r>
        <w:rPr>
          <w:color w:val="000000" w:themeColor="text1"/>
        </w:rPr>
        <w:t xml:space="preserve">in </w:t>
      </w:r>
      <w:r w:rsidRPr="004B3714">
        <w:rPr>
          <w:b/>
          <w:bCs/>
          <w:color w:val="000000" w:themeColor="text1"/>
        </w:rPr>
        <w:t>one document</w:t>
      </w:r>
      <w:r>
        <w:rPr>
          <w:color w:val="000000" w:themeColor="text1"/>
        </w:rPr>
        <w:t xml:space="preserve">: </w:t>
      </w:r>
      <w:r w:rsidRPr="00645CF5">
        <w:rPr>
          <w:color w:val="000000" w:themeColor="text1"/>
        </w:rPr>
        <w:t xml:space="preserve">a </w:t>
      </w:r>
      <w:r>
        <w:rPr>
          <w:color w:val="000000" w:themeColor="text1"/>
        </w:rPr>
        <w:t>cover letter setting out your motivation</w:t>
      </w:r>
      <w:r w:rsidR="00EF128C">
        <w:rPr>
          <w:color w:val="000000" w:themeColor="text1"/>
        </w:rPr>
        <w:t xml:space="preserve"> and suitability</w:t>
      </w:r>
      <w:r>
        <w:rPr>
          <w:color w:val="000000" w:themeColor="text1"/>
        </w:rPr>
        <w:t xml:space="preserve"> for the role</w:t>
      </w:r>
      <w:r w:rsidR="00EC5424">
        <w:rPr>
          <w:color w:val="000000" w:themeColor="text1"/>
        </w:rPr>
        <w:t xml:space="preserve">, a one-page social media campaign plan for promoting the Compass on Instagram or Tik Tok, </w:t>
      </w:r>
      <w:r w:rsidRPr="004B3714">
        <w:rPr>
          <w:b/>
          <w:bCs/>
          <w:color w:val="000000" w:themeColor="text1"/>
        </w:rPr>
        <w:t>AND</w:t>
      </w:r>
      <w:r>
        <w:rPr>
          <w:color w:val="000000" w:themeColor="text1"/>
        </w:rPr>
        <w:t xml:space="preserve"> a </w:t>
      </w:r>
      <w:r w:rsidR="001035AF">
        <w:rPr>
          <w:color w:val="000000" w:themeColor="text1"/>
        </w:rPr>
        <w:t>2 page</w:t>
      </w:r>
      <w:r w:rsidRPr="00645CF5">
        <w:rPr>
          <w:color w:val="000000" w:themeColor="text1"/>
        </w:rPr>
        <w:t xml:space="preserve"> Curriculum Vitae to include the names and contact details of 2 referees (including email addresses), to:- </w:t>
      </w:r>
      <w:r w:rsidR="005D48A6">
        <w:rPr>
          <w:color w:val="000000" w:themeColor="text1"/>
        </w:rPr>
        <w:t>Daisy Gallagher</w:t>
      </w:r>
      <w:r w:rsidR="00B75782">
        <w:rPr>
          <w:color w:val="000000" w:themeColor="text1"/>
        </w:rPr>
        <w:t xml:space="preserve"> </w:t>
      </w:r>
      <w:r>
        <w:rPr>
          <w:color w:val="000000" w:themeColor="text1"/>
        </w:rPr>
        <w:t xml:space="preserve">Email: </w:t>
      </w:r>
      <w:hyperlink r:id="rId10" w:history="1">
        <w:r w:rsidR="00087426" w:rsidRPr="00676597">
          <w:rPr>
            <w:rStyle w:val="Hyperlink"/>
          </w:rPr>
          <w:t>DGALLAG3@tcd.ie</w:t>
        </w:r>
      </w:hyperlink>
    </w:p>
    <w:p w14:paraId="0337ACD3" w14:textId="77777777" w:rsidR="00DD199B" w:rsidRDefault="00DD199B" w:rsidP="0044241F">
      <w:pPr>
        <w:rPr>
          <w:rFonts w:eastAsia="Arial"/>
          <w:b/>
          <w:color w:val="000000" w:themeColor="text1"/>
        </w:rPr>
      </w:pPr>
    </w:p>
    <w:p w14:paraId="09EDC91D" w14:textId="3D7243F3" w:rsidR="0044241F" w:rsidRPr="001642B4" w:rsidRDefault="006037E5" w:rsidP="0044241F">
      <w:pPr>
        <w:rPr>
          <w:rFonts w:eastAsia="Arial"/>
          <w:b/>
          <w:color w:val="000000" w:themeColor="text1"/>
          <w:w w:val="101"/>
        </w:rPr>
      </w:pPr>
      <w:r w:rsidRPr="00A519F4">
        <w:rPr>
          <w:rFonts w:eastAsia="Arial"/>
          <w:b/>
          <w:color w:val="000000" w:themeColor="text1"/>
        </w:rPr>
        <w:t>F</w:t>
      </w:r>
      <w:r w:rsidRPr="00A519F4">
        <w:rPr>
          <w:rFonts w:eastAsia="Arial"/>
          <w:b/>
          <w:color w:val="000000" w:themeColor="text1"/>
          <w:spacing w:val="-1"/>
        </w:rPr>
        <w:t>u</w:t>
      </w:r>
      <w:r w:rsidRPr="00A519F4">
        <w:rPr>
          <w:rFonts w:eastAsia="Arial"/>
          <w:b/>
          <w:color w:val="000000" w:themeColor="text1"/>
        </w:rPr>
        <w:t>rther</w:t>
      </w:r>
      <w:r w:rsidRPr="00A519F4">
        <w:rPr>
          <w:rFonts w:eastAsia="Arial"/>
          <w:b/>
          <w:color w:val="000000" w:themeColor="text1"/>
          <w:spacing w:val="10"/>
        </w:rPr>
        <w:t xml:space="preserve"> </w:t>
      </w:r>
      <w:r w:rsidRPr="00A519F4">
        <w:rPr>
          <w:rFonts w:eastAsia="Arial"/>
          <w:b/>
          <w:color w:val="000000" w:themeColor="text1"/>
          <w:w w:val="101"/>
        </w:rPr>
        <w:t>I</w:t>
      </w:r>
      <w:r w:rsidRPr="00A519F4">
        <w:rPr>
          <w:rFonts w:eastAsia="Arial"/>
          <w:b/>
          <w:color w:val="000000" w:themeColor="text1"/>
          <w:spacing w:val="-1"/>
          <w:w w:val="101"/>
        </w:rPr>
        <w:t>nf</w:t>
      </w:r>
      <w:r w:rsidRPr="00A519F4">
        <w:rPr>
          <w:rFonts w:eastAsia="Arial"/>
          <w:b/>
          <w:color w:val="000000" w:themeColor="text1"/>
          <w:w w:val="101"/>
        </w:rPr>
        <w:t>ormati</w:t>
      </w:r>
      <w:r w:rsidRPr="00A519F4">
        <w:rPr>
          <w:rFonts w:eastAsia="Arial"/>
          <w:b/>
          <w:color w:val="000000" w:themeColor="text1"/>
          <w:spacing w:val="-1"/>
          <w:w w:val="101"/>
        </w:rPr>
        <w:t>o</w:t>
      </w:r>
      <w:r w:rsidRPr="00A519F4">
        <w:rPr>
          <w:rFonts w:eastAsia="Arial"/>
          <w:b/>
          <w:color w:val="000000" w:themeColor="text1"/>
          <w:w w:val="101"/>
        </w:rPr>
        <w:t>n</w:t>
      </w:r>
      <w:r w:rsidR="001642B4">
        <w:rPr>
          <w:rFonts w:eastAsia="Arial"/>
          <w:b/>
          <w:color w:val="000000" w:themeColor="text1"/>
          <w:w w:val="101"/>
        </w:rPr>
        <w:t xml:space="preserve"> for </w:t>
      </w:r>
      <w:r w:rsidR="00EA7551">
        <w:rPr>
          <w:rFonts w:eastAsia="Arial"/>
          <w:b/>
          <w:color w:val="000000" w:themeColor="text1"/>
          <w:w w:val="101"/>
        </w:rPr>
        <w:t>Applicant</w:t>
      </w:r>
      <w:r w:rsidR="001642B4">
        <w:rPr>
          <w:rFonts w:eastAsia="Arial"/>
          <w:b/>
          <w:color w:val="000000" w:themeColor="text1"/>
          <w:w w:val="101"/>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3"/>
        <w:gridCol w:w="5409"/>
      </w:tblGrid>
      <w:tr w:rsidR="001F0A17" w:rsidRPr="00A519F4" w14:paraId="4D15040E" w14:textId="77777777" w:rsidTr="001F0A17">
        <w:tc>
          <w:tcPr>
            <w:tcW w:w="3773" w:type="dxa"/>
          </w:tcPr>
          <w:p w14:paraId="24F360A3" w14:textId="683239BC" w:rsidR="001F0A17" w:rsidRPr="00A519F4" w:rsidRDefault="001F0A17" w:rsidP="0044241F">
            <w:pPr>
              <w:rPr>
                <w:color w:val="000000" w:themeColor="text1"/>
                <w:lang w:val="en-IE"/>
              </w:rPr>
            </w:pPr>
            <w:r>
              <w:rPr>
                <w:color w:val="000000" w:themeColor="text1"/>
                <w:lang w:val="en-IE"/>
              </w:rPr>
              <w:t>CULTIVATE project</w:t>
            </w:r>
          </w:p>
        </w:tc>
        <w:tc>
          <w:tcPr>
            <w:tcW w:w="5409" w:type="dxa"/>
          </w:tcPr>
          <w:p w14:paraId="27CF0C3B" w14:textId="7F9288DD" w:rsidR="001F0A17" w:rsidRDefault="00087426" w:rsidP="0044241F">
            <w:hyperlink r:id="rId11" w:history="1">
              <w:r w:rsidRPr="00676597">
                <w:rPr>
                  <w:rStyle w:val="Hyperlink"/>
                </w:rPr>
                <w:t>https://cultivate-project.eu/</w:t>
              </w:r>
            </w:hyperlink>
            <w:r>
              <w:t xml:space="preserve"> </w:t>
            </w:r>
          </w:p>
        </w:tc>
      </w:tr>
      <w:tr w:rsidR="00A519F4" w:rsidRPr="00A519F4" w14:paraId="688828F9" w14:textId="77777777" w:rsidTr="001F0A17">
        <w:tc>
          <w:tcPr>
            <w:tcW w:w="3773" w:type="dxa"/>
          </w:tcPr>
          <w:p w14:paraId="02490255" w14:textId="77777777" w:rsidR="0044241F" w:rsidRPr="00A519F4" w:rsidRDefault="0044241F" w:rsidP="0044241F">
            <w:pPr>
              <w:rPr>
                <w:color w:val="000000" w:themeColor="text1"/>
                <w:lang w:val="en-IE"/>
              </w:rPr>
            </w:pPr>
            <w:r w:rsidRPr="00A519F4">
              <w:rPr>
                <w:color w:val="000000" w:themeColor="text1"/>
                <w:lang w:val="en-IE"/>
              </w:rPr>
              <w:t>URL Link to Area</w:t>
            </w:r>
          </w:p>
        </w:tc>
        <w:tc>
          <w:tcPr>
            <w:tcW w:w="5409" w:type="dxa"/>
          </w:tcPr>
          <w:p w14:paraId="45EB221A" w14:textId="77777777" w:rsidR="0044241F" w:rsidRPr="00A519F4" w:rsidRDefault="0044241F" w:rsidP="0044241F">
            <w:pPr>
              <w:rPr>
                <w:color w:val="000000" w:themeColor="text1"/>
                <w:lang w:val="en-IE"/>
              </w:rPr>
            </w:pPr>
            <w:hyperlink r:id="rId12" w:history="1">
              <w:r w:rsidRPr="004834C1">
                <w:rPr>
                  <w:rStyle w:val="Hyperlink"/>
                  <w:lang w:val="en-IE"/>
                </w:rPr>
                <w:t>www.tcd.ie</w:t>
              </w:r>
            </w:hyperlink>
          </w:p>
        </w:tc>
      </w:tr>
      <w:tr w:rsidR="0044241F" w:rsidRPr="00A519F4" w14:paraId="6685A426" w14:textId="77777777" w:rsidTr="001F0A17">
        <w:tc>
          <w:tcPr>
            <w:tcW w:w="3773" w:type="dxa"/>
          </w:tcPr>
          <w:p w14:paraId="4A98C720" w14:textId="77777777" w:rsidR="0044241F" w:rsidRPr="00A519F4" w:rsidRDefault="0044241F" w:rsidP="0044241F">
            <w:pPr>
              <w:rPr>
                <w:color w:val="000000" w:themeColor="text1"/>
                <w:lang w:val="en-IE"/>
              </w:rPr>
            </w:pPr>
            <w:r w:rsidRPr="00A519F4">
              <w:rPr>
                <w:color w:val="000000" w:themeColor="text1"/>
                <w:lang w:val="en-IE"/>
              </w:rPr>
              <w:lastRenderedPageBreak/>
              <w:t>URL Link to Human Resources</w:t>
            </w:r>
          </w:p>
        </w:tc>
        <w:tc>
          <w:tcPr>
            <w:tcW w:w="5409" w:type="dxa"/>
          </w:tcPr>
          <w:p w14:paraId="621BFB54" w14:textId="77777777" w:rsidR="0044241F" w:rsidRPr="00A519F4" w:rsidRDefault="0044241F" w:rsidP="002C79DF">
            <w:pPr>
              <w:rPr>
                <w:color w:val="000000" w:themeColor="text1"/>
                <w:lang w:val="en-IE"/>
              </w:rPr>
            </w:pPr>
            <w:hyperlink r:id="rId13" w:history="1">
              <w:r w:rsidRPr="004834C1">
                <w:rPr>
                  <w:rStyle w:val="Hyperlink"/>
                  <w:lang w:val="en-IE"/>
                </w:rPr>
                <w:t>https://www.tcd.ie/hr/</w:t>
              </w:r>
            </w:hyperlink>
          </w:p>
        </w:tc>
      </w:tr>
    </w:tbl>
    <w:p w14:paraId="3E54D7A3" w14:textId="77777777" w:rsidR="00751F03" w:rsidRPr="00400BD5" w:rsidRDefault="00751F03" w:rsidP="00751F03">
      <w:pPr>
        <w:rPr>
          <w:rFonts w:cstheme="minorHAnsi"/>
          <w:b/>
          <w:color w:val="auto"/>
          <w:lang w:val="en-IE"/>
        </w:rPr>
      </w:pPr>
      <w:r w:rsidRPr="00400BD5">
        <w:rPr>
          <w:rFonts w:cstheme="minorHAnsi"/>
          <w:b/>
          <w:color w:val="auto"/>
          <w:lang w:val="en-IE"/>
        </w:rPr>
        <w:t>Trinity College Dublin, the University of Dublin</w:t>
      </w:r>
    </w:p>
    <w:p w14:paraId="57E1541E" w14:textId="77777777" w:rsidR="00751F03" w:rsidRPr="00400BD5" w:rsidRDefault="00751F03" w:rsidP="00751F03">
      <w:pPr>
        <w:rPr>
          <w:rFonts w:cstheme="minorHAnsi"/>
          <w:color w:val="auto"/>
          <w:lang w:val="en-IE"/>
        </w:rPr>
      </w:pPr>
    </w:p>
    <w:p w14:paraId="7A64DCCF" w14:textId="77777777" w:rsidR="00751F03" w:rsidRPr="00400BD5" w:rsidRDefault="00751F03" w:rsidP="00751F03">
      <w:pPr>
        <w:rPr>
          <w:rFonts w:cstheme="minorHAnsi"/>
          <w:color w:val="auto"/>
          <w:lang w:val="en-IE"/>
        </w:rPr>
      </w:pPr>
      <w:r w:rsidRPr="00400BD5">
        <w:rPr>
          <w:rFonts w:cstheme="minorHAnsi"/>
          <w:color w:val="auto"/>
          <w:lang w:val="en-IE"/>
        </w:rPr>
        <w:t>Trinity is Ireland’s leading university and is ranked 108th in the world (QS World University Rankings 2020). Founded in 1592, the University is steeped in history with a reputation for excellence in education, research and innovation.</w:t>
      </w:r>
    </w:p>
    <w:p w14:paraId="0A77F035" w14:textId="77777777" w:rsidR="00751F03" w:rsidRPr="00400BD5" w:rsidRDefault="00751F03" w:rsidP="00751F03">
      <w:pPr>
        <w:rPr>
          <w:rFonts w:cstheme="minorHAnsi"/>
          <w:color w:val="auto"/>
          <w:lang w:val="en-IE"/>
        </w:rPr>
      </w:pPr>
    </w:p>
    <w:p w14:paraId="3646D03C" w14:textId="77777777" w:rsidR="00751F03" w:rsidRPr="00400BD5" w:rsidRDefault="00751F03" w:rsidP="00751F03">
      <w:pPr>
        <w:rPr>
          <w:rFonts w:cstheme="minorHAnsi"/>
          <w:color w:val="auto"/>
          <w:lang w:val="en-IE"/>
        </w:rPr>
      </w:pPr>
      <w:r w:rsidRPr="00400BD5">
        <w:rPr>
          <w:rFonts w:cstheme="minorHAnsi"/>
          <w:color w:val="auto"/>
          <w:lang w:val="en-IE"/>
        </w:rPr>
        <w:t xml:space="preserve">Located on an iconic campus in the heart of Dublin’s city centre, Trinity has 18,000 undergraduate and postgraduate students across our three faculties – Arts, Humanities, and Social Sciences; Engineering, Mathematics and Science; and Health Sciences. </w:t>
      </w:r>
    </w:p>
    <w:p w14:paraId="55AF635D" w14:textId="77777777" w:rsidR="00751F03" w:rsidRPr="00400BD5" w:rsidRDefault="00751F03" w:rsidP="00751F03">
      <w:pPr>
        <w:rPr>
          <w:rFonts w:cstheme="minorHAnsi"/>
          <w:color w:val="auto"/>
          <w:lang w:val="en-IE"/>
        </w:rPr>
      </w:pPr>
    </w:p>
    <w:p w14:paraId="4483D142" w14:textId="77777777" w:rsidR="00751F03" w:rsidRPr="00400BD5" w:rsidRDefault="00751F03" w:rsidP="00751F03">
      <w:pPr>
        <w:rPr>
          <w:rFonts w:cstheme="minorHAnsi"/>
          <w:color w:val="auto"/>
          <w:lang w:val="en-IE"/>
        </w:rPr>
      </w:pPr>
      <w:r w:rsidRPr="00400BD5">
        <w:rPr>
          <w:rFonts w:cstheme="minorHAnsi"/>
          <w:color w:val="auto"/>
          <w:lang w:val="en-IE"/>
        </w:rPr>
        <w:t>Trinity is ranked as the 17th most international university in the world (Times Higher Education Rankings 2020) and has students and staff from over 120 countries.</w:t>
      </w:r>
    </w:p>
    <w:p w14:paraId="0FFFAF17" w14:textId="77777777" w:rsidR="00751F03" w:rsidRPr="00400BD5" w:rsidRDefault="00751F03" w:rsidP="00751F03">
      <w:pPr>
        <w:rPr>
          <w:rFonts w:cstheme="minorHAnsi"/>
          <w:color w:val="auto"/>
          <w:lang w:val="en-IE"/>
        </w:rPr>
      </w:pPr>
    </w:p>
    <w:p w14:paraId="5EECBE39" w14:textId="77777777" w:rsidR="00751F03" w:rsidRPr="00400BD5" w:rsidRDefault="00751F03" w:rsidP="00751F03">
      <w:pPr>
        <w:rPr>
          <w:rFonts w:cstheme="minorHAnsi"/>
          <w:color w:val="auto"/>
          <w:lang w:val="en-IE"/>
        </w:rPr>
      </w:pPr>
      <w:r w:rsidRPr="00400BD5">
        <w:rPr>
          <w:rFonts w:cstheme="minorHAnsi"/>
          <w:color w:val="auto"/>
          <w:lang w:val="en-IE"/>
        </w:rPr>
        <w:t xml:space="preserve">The pursuit of excellence through research and scholarship is at the heart of a Trinity education, and our researchers have an outstanding publication record and strong record of grant success.  Trinity has developed </w:t>
      </w:r>
      <w:hyperlink r:id="rId14" w:history="1">
        <w:r w:rsidRPr="00400BD5">
          <w:rPr>
            <w:rStyle w:val="Hyperlink"/>
            <w:rFonts w:cstheme="minorHAnsi"/>
            <w:color w:val="auto"/>
            <w:lang w:val="en-IE"/>
          </w:rPr>
          <w:t>19 broad-based multidisciplinary research themes</w:t>
        </w:r>
      </w:hyperlink>
      <w:r w:rsidRPr="00400BD5">
        <w:rPr>
          <w:rFonts w:cstheme="minorHAnsi"/>
          <w:color w:val="auto"/>
          <w:lang w:val="en-IE"/>
        </w:rPr>
        <w:t xml:space="preserve"> that cut across disciplines and facilitate world-leading research and collaboration within the University and with colleagues around the world.  Trinity is also home to 5 leading flagship research institutes:</w:t>
      </w:r>
    </w:p>
    <w:p w14:paraId="3B4A8BBD"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Biomedical Sciences Institute (TBSI)</w:t>
      </w:r>
    </w:p>
    <w:p w14:paraId="35DFB53E"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College Institute of Neuroscience (TCIN)</w:t>
      </w:r>
    </w:p>
    <w:p w14:paraId="6238CE5C"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Translational Medical Institute (TTMI)</w:t>
      </w:r>
    </w:p>
    <w:p w14:paraId="38517A29"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Long Room Hub Arts and Humanities Research Institute (TLRH)</w:t>
      </w:r>
    </w:p>
    <w:p w14:paraId="28C84F76"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Centre for Research on Adaptive Nanostructures and Nanodevices (CRANN)</w:t>
      </w:r>
    </w:p>
    <w:p w14:paraId="279D302B" w14:textId="77777777" w:rsidR="00751F03" w:rsidRPr="00400BD5" w:rsidRDefault="00751F03" w:rsidP="00751F03">
      <w:pPr>
        <w:rPr>
          <w:rFonts w:cstheme="minorHAnsi"/>
          <w:color w:val="auto"/>
          <w:lang w:val="en-IE"/>
        </w:rPr>
      </w:pPr>
    </w:p>
    <w:p w14:paraId="544DB457" w14:textId="77777777" w:rsidR="00751F03" w:rsidRPr="00400BD5" w:rsidRDefault="00751F03" w:rsidP="00751F03">
      <w:pPr>
        <w:rPr>
          <w:rFonts w:cstheme="minorHAnsi"/>
          <w:color w:val="auto"/>
          <w:lang w:val="en-IE"/>
        </w:rPr>
      </w:pPr>
      <w:r w:rsidRPr="00400BD5">
        <w:rPr>
          <w:rFonts w:cstheme="minorHAnsi"/>
          <w:color w:val="auto"/>
          <w:lang w:val="en-IE"/>
        </w:rPr>
        <w:t>Trinity is the top-ranked European university for producing entrepreneurs for the past five successive years and Europe’s only representative in the world’s top-50 universities</w:t>
      </w:r>
    </w:p>
    <w:p w14:paraId="440C5BD3" w14:textId="77777777" w:rsidR="00751F03" w:rsidRPr="00400BD5" w:rsidRDefault="00751F03" w:rsidP="00751F03">
      <w:pPr>
        <w:rPr>
          <w:rFonts w:cstheme="minorHAnsi"/>
          <w:color w:val="auto"/>
          <w:lang w:val="en-IE"/>
        </w:rPr>
      </w:pPr>
      <w:r w:rsidRPr="00400BD5">
        <w:rPr>
          <w:rFonts w:cstheme="minorHAnsi"/>
          <w:color w:val="auto"/>
          <w:lang w:val="en-IE"/>
        </w:rPr>
        <w:t>(Pitchbook Universities Report).</w:t>
      </w:r>
    </w:p>
    <w:p w14:paraId="292B8EE9" w14:textId="77777777" w:rsidR="00751F03" w:rsidRPr="00400BD5" w:rsidRDefault="00751F03" w:rsidP="00751F03">
      <w:pPr>
        <w:rPr>
          <w:rFonts w:cstheme="minorHAnsi"/>
          <w:color w:val="auto"/>
          <w:lang w:val="en-IE"/>
        </w:rPr>
      </w:pPr>
    </w:p>
    <w:p w14:paraId="071651A5" w14:textId="77777777" w:rsidR="00E15E38" w:rsidRDefault="00E15E38" w:rsidP="00E15E38">
      <w:pPr>
        <w:rPr>
          <w:rFonts w:cstheme="minorHAnsi"/>
          <w:color w:val="auto"/>
          <w:lang w:val="en-IE"/>
        </w:rPr>
      </w:pPr>
      <w:r w:rsidRPr="00E15E38">
        <w:rPr>
          <w:rFonts w:cstheme="minorHAnsi"/>
          <w:color w:val="auto"/>
          <w:lang w:val="en-IE"/>
        </w:rPr>
        <w:t xml:space="preserve">Trinity is home to the famous Old Library and to the historic Book of Kells as well as other internationally significant holdings in manuscripts, maps and early printed material. The Trinity Library is a legal deposit library, granting the University the right to claim a copy of </w:t>
      </w:r>
      <w:r w:rsidRPr="00E15E38">
        <w:rPr>
          <w:rFonts w:cstheme="minorHAnsi"/>
          <w:color w:val="auto"/>
          <w:lang w:val="en-IE"/>
        </w:rPr>
        <w:lastRenderedPageBreak/>
        <w:t>every book published in Ireland and the UK. At present, the Library’s holdings span approximately 6.5 million printed items, 400,000 e-books and 150,000 e-journals.</w:t>
      </w:r>
    </w:p>
    <w:p w14:paraId="7E46E7FA" w14:textId="77777777" w:rsidR="00E15E38" w:rsidRPr="00E15E38" w:rsidRDefault="00E15E38" w:rsidP="00E15E38">
      <w:pPr>
        <w:rPr>
          <w:rFonts w:cstheme="minorHAnsi"/>
          <w:color w:val="auto"/>
          <w:lang w:val="en-IE"/>
        </w:rPr>
      </w:pPr>
    </w:p>
    <w:p w14:paraId="013E5524" w14:textId="77777777" w:rsidR="00751F03" w:rsidRDefault="00E15E38" w:rsidP="00E15E38">
      <w:pPr>
        <w:rPr>
          <w:rFonts w:cstheme="minorHAnsi"/>
          <w:color w:val="auto"/>
          <w:lang w:val="en-IE"/>
        </w:rPr>
      </w:pPr>
      <w:r w:rsidRPr="00E15E38">
        <w:rPr>
          <w:rFonts w:cstheme="minorHAnsi"/>
          <w:color w:val="auto"/>
          <w:lang w:val="en-IE"/>
        </w:rPr>
        <w:t>With over 120,000 alumni, Trinity’s tradition of independent intellectual inquiry has produced some of the world’s finest, most original minds including the writers Oscar Wilde and Samuel Beckett (Nobel laureates), the mathematician William Rowan Hamilton and the physicist Ernest Walton (Nobel laureate), the political thinker Edmund Burke, and the former President of Ireland Mary Robinson. This tradition finds expression today in a campus culture of scholarship, innovation, creativity, entrepreneurship and dedication to societal reform.</w:t>
      </w:r>
    </w:p>
    <w:p w14:paraId="4F54E82B" w14:textId="77777777" w:rsidR="00782C70" w:rsidRPr="00400BD5" w:rsidRDefault="00782C70" w:rsidP="00E15E38">
      <w:pPr>
        <w:rPr>
          <w:rFonts w:cstheme="minorHAnsi"/>
          <w:color w:val="auto"/>
          <w:lang w:val="en-IE"/>
        </w:rPr>
      </w:pPr>
    </w:p>
    <w:p w14:paraId="075BAC44" w14:textId="77777777" w:rsidR="00751F03" w:rsidRPr="00400BD5" w:rsidRDefault="00751F03" w:rsidP="00751F03">
      <w:pPr>
        <w:rPr>
          <w:rFonts w:cstheme="minorHAnsi"/>
          <w:color w:val="auto"/>
        </w:rPr>
      </w:pPr>
      <w:r w:rsidRPr="00400BD5">
        <w:rPr>
          <w:rFonts w:cstheme="minorHAnsi"/>
          <w:b/>
          <w:color w:val="auto"/>
        </w:rPr>
        <w:t>Rankings</w:t>
      </w:r>
    </w:p>
    <w:p w14:paraId="62EC6832" w14:textId="77777777" w:rsidR="00751F03" w:rsidRPr="00400BD5" w:rsidRDefault="00751F03" w:rsidP="00751F03">
      <w:pPr>
        <w:rPr>
          <w:rFonts w:cstheme="minorHAnsi"/>
          <w:b/>
          <w:color w:val="auto"/>
        </w:rPr>
      </w:pPr>
      <w:r w:rsidRPr="00400BD5">
        <w:rPr>
          <w:rFonts w:cstheme="minorHAnsi"/>
          <w:color w:val="auto"/>
          <w:lang w:val="en-IE"/>
        </w:rPr>
        <w:t xml:space="preserve">Trinity is the top ranked university in Ireland and ranked 108th in the world (QS World University Rankings 2020). </w:t>
      </w:r>
      <w:r w:rsidRPr="00400BD5">
        <w:rPr>
          <w:rFonts w:cstheme="minorHAnsi"/>
          <w:bCs/>
          <w:color w:val="auto"/>
        </w:rPr>
        <w:t xml:space="preserve">Trinity ranks in the top 50 in the world on 6 subjects and in the top 100 in 20 subjects </w:t>
      </w:r>
      <w:r w:rsidRPr="00400BD5">
        <w:rPr>
          <w:rFonts w:cstheme="minorHAnsi"/>
          <w:bCs/>
          <w:color w:val="auto"/>
          <w:lang w:val="en-IE"/>
        </w:rPr>
        <w:t>(</w:t>
      </w:r>
      <w:r w:rsidRPr="00400BD5">
        <w:rPr>
          <w:rFonts w:cstheme="minorHAnsi"/>
          <w:bCs/>
          <w:color w:val="auto"/>
        </w:rPr>
        <w:t xml:space="preserve">QS World University Rankings by Subject 2019). </w:t>
      </w:r>
      <w:r w:rsidRPr="00400BD5">
        <w:rPr>
          <w:rFonts w:cstheme="minorHAnsi"/>
          <w:color w:val="auto"/>
          <w:lang w:val="en-IE"/>
        </w:rPr>
        <w:t xml:space="preserve">Full details are available at: </w:t>
      </w:r>
      <w:hyperlink r:id="rId15" w:history="1">
        <w:r w:rsidRPr="00400BD5">
          <w:rPr>
            <w:rStyle w:val="Hyperlink"/>
            <w:rFonts w:cstheme="minorHAnsi"/>
            <w:color w:val="auto"/>
            <w:lang w:val="en-IE"/>
          </w:rPr>
          <w:t>www.tcd.ie/research/about/rankings</w:t>
        </w:r>
      </w:hyperlink>
      <w:r w:rsidRPr="00400BD5">
        <w:rPr>
          <w:rFonts w:cstheme="minorHAnsi"/>
          <w:color w:val="auto"/>
          <w:lang w:val="en-IE"/>
        </w:rPr>
        <w:t>.</w:t>
      </w:r>
    </w:p>
    <w:p w14:paraId="2266288C" w14:textId="77777777" w:rsidR="00751F03" w:rsidRPr="00400BD5" w:rsidRDefault="00751F03" w:rsidP="00751F03">
      <w:pPr>
        <w:spacing w:after="200"/>
        <w:rPr>
          <w:rFonts w:cstheme="minorHAnsi"/>
          <w:color w:val="auto"/>
        </w:rPr>
      </w:pPr>
    </w:p>
    <w:p w14:paraId="442E494B" w14:textId="77777777" w:rsidR="00751F03" w:rsidRPr="00400BD5" w:rsidRDefault="00751F03" w:rsidP="00751F03">
      <w:pPr>
        <w:spacing w:after="200"/>
        <w:rPr>
          <w:rFonts w:cstheme="minorHAnsi"/>
          <w:color w:val="auto"/>
        </w:rPr>
      </w:pPr>
    </w:p>
    <w:p w14:paraId="3EBE9232" w14:textId="77777777" w:rsidR="00751F03" w:rsidRPr="00400BD5" w:rsidRDefault="00751F03" w:rsidP="00751F03">
      <w:pPr>
        <w:spacing w:after="200"/>
        <w:rPr>
          <w:rFonts w:cstheme="minorHAnsi"/>
          <w:color w:val="auto"/>
        </w:rPr>
      </w:pPr>
    </w:p>
    <w:p w14:paraId="2FFB5ABD" w14:textId="77777777" w:rsidR="00751F03" w:rsidRPr="00400BD5" w:rsidRDefault="00751F03" w:rsidP="00751F03">
      <w:pPr>
        <w:spacing w:after="200"/>
        <w:rPr>
          <w:rFonts w:cstheme="minorHAnsi"/>
          <w:b/>
          <w:color w:val="auto"/>
        </w:rPr>
      </w:pPr>
      <w:r w:rsidRPr="00400BD5">
        <w:rPr>
          <w:rFonts w:cstheme="minorHAnsi"/>
          <w:b/>
          <w:color w:val="auto"/>
        </w:rPr>
        <w:br w:type="page"/>
      </w:r>
    </w:p>
    <w:p w14:paraId="58D4BE94" w14:textId="77777777" w:rsidR="00751F03" w:rsidRPr="00400BD5" w:rsidRDefault="00751F03" w:rsidP="00751F03">
      <w:pPr>
        <w:rPr>
          <w:rFonts w:cstheme="minorHAnsi"/>
          <w:b/>
          <w:color w:val="auto"/>
        </w:rPr>
      </w:pPr>
      <w:r w:rsidRPr="00400BD5">
        <w:rPr>
          <w:rFonts w:cstheme="minorHAnsi"/>
          <w:b/>
          <w:color w:val="auto"/>
        </w:rPr>
        <w:lastRenderedPageBreak/>
        <w:t>The Selection Process in Trinity</w:t>
      </w:r>
    </w:p>
    <w:p w14:paraId="74A01D43" w14:textId="77777777" w:rsidR="00751F03" w:rsidRPr="00400BD5" w:rsidRDefault="00751F03" w:rsidP="00751F03">
      <w:pPr>
        <w:rPr>
          <w:rFonts w:cstheme="minorHAnsi"/>
          <w:color w:val="auto"/>
        </w:rPr>
      </w:pPr>
    </w:p>
    <w:p w14:paraId="3D8F89F4" w14:textId="77777777" w:rsidR="00751F03" w:rsidRPr="00400BD5" w:rsidRDefault="00751F03" w:rsidP="00751F03">
      <w:pPr>
        <w:rPr>
          <w:rFonts w:cstheme="minorHAnsi"/>
          <w:color w:val="auto"/>
        </w:rPr>
      </w:pPr>
      <w:r w:rsidRPr="00400BD5">
        <w:rPr>
          <w:rFonts w:cstheme="minorHAnsi"/>
          <w:color w:val="auto"/>
        </w:rPr>
        <w:t xml:space="preserve">The Selection Committee (Interview Panel) may include members of the Academic and Administrative community together with External Assessor(s) who are expert in the area. Applications will be acknowledged by email. If you do not receive confirmation of receipt within 1 day of submitting your application online, please contact the named Recruitment Partner on the job specification immediately and prior to the closing date/time.  </w:t>
      </w:r>
    </w:p>
    <w:p w14:paraId="46AC1DCC" w14:textId="77777777" w:rsidR="00751F03" w:rsidRPr="00400BD5" w:rsidRDefault="00751F03" w:rsidP="00751F03">
      <w:pPr>
        <w:rPr>
          <w:rFonts w:cstheme="minorHAnsi"/>
          <w:color w:val="auto"/>
        </w:rPr>
      </w:pPr>
    </w:p>
    <w:p w14:paraId="53FFF1E0" w14:textId="77777777" w:rsidR="00751F03" w:rsidRPr="00400BD5" w:rsidRDefault="00751F03" w:rsidP="00751F03">
      <w:pPr>
        <w:rPr>
          <w:rFonts w:cstheme="minorHAnsi"/>
          <w:color w:val="auto"/>
          <w:lang w:val="en-IE"/>
        </w:rPr>
      </w:pPr>
      <w:r w:rsidRPr="00400BD5">
        <w:rPr>
          <w:rFonts w:cstheme="minorHAnsi"/>
          <w:color w:val="auto"/>
          <w:lang w:val="en-IE"/>
        </w:rPr>
        <w:t xml:space="preserve">Given the degree of co-ordination and planning to have a Selection Committee available on the specified date, the University regrets that it may not be in a position to offer alternate selection dates.  Where candidates are unavailable, reserves may be drawn from a shortlist. Outcomes of interviews are notified in writing to candidates and are issued no later than 5 working days following the selection day.  </w:t>
      </w:r>
    </w:p>
    <w:p w14:paraId="1CEF0541" w14:textId="77777777" w:rsidR="00751F03" w:rsidRPr="00400BD5" w:rsidRDefault="00751F03" w:rsidP="00751F03">
      <w:pPr>
        <w:rPr>
          <w:rFonts w:cstheme="minorHAnsi"/>
          <w:color w:val="auto"/>
          <w:lang w:val="en-IE"/>
        </w:rPr>
      </w:pPr>
    </w:p>
    <w:p w14:paraId="18A95127" w14:textId="77777777" w:rsidR="00751F03" w:rsidRPr="00400BD5" w:rsidRDefault="00751F03" w:rsidP="00751F03">
      <w:pPr>
        <w:rPr>
          <w:rFonts w:cstheme="minorHAnsi"/>
          <w:color w:val="auto"/>
          <w:lang w:val="en-IE"/>
        </w:rPr>
      </w:pPr>
      <w:r w:rsidRPr="00400BD5">
        <w:rPr>
          <w:rFonts w:cstheme="minorHAnsi"/>
          <w:color w:val="auto"/>
          <w:lang w:val="en-IE"/>
        </w:rPr>
        <w:t>In some instances the Selection Committee may avail of telephone or video conferencing. The University’s selection methods may consist of any or all of the following: Interviews, Presentations, Psychometric Testing, References and Situational Exercises.</w:t>
      </w:r>
    </w:p>
    <w:p w14:paraId="329B0409" w14:textId="77777777" w:rsidR="00751F03" w:rsidRPr="00400BD5" w:rsidRDefault="00751F03" w:rsidP="00751F03">
      <w:pPr>
        <w:rPr>
          <w:rFonts w:cstheme="minorHAnsi"/>
          <w:color w:val="auto"/>
          <w:lang w:val="en-IE"/>
        </w:rPr>
      </w:pPr>
    </w:p>
    <w:p w14:paraId="7FF68FF4" w14:textId="77777777" w:rsidR="00751F03" w:rsidRPr="00400BD5" w:rsidRDefault="00751F03" w:rsidP="00751F03">
      <w:pPr>
        <w:rPr>
          <w:rFonts w:cstheme="minorHAnsi"/>
          <w:color w:val="auto"/>
        </w:rPr>
      </w:pPr>
      <w:r w:rsidRPr="00400BD5">
        <w:rPr>
          <w:rFonts w:cstheme="minorHAnsi"/>
          <w:color w:val="auto"/>
          <w:lang w:val="en-IE"/>
        </w:rPr>
        <w:t xml:space="preserve">It is the policy of the University to conduct pre-employment medical screening/full pre-employment medicals. </w:t>
      </w:r>
      <w:r w:rsidRPr="00400BD5">
        <w:rPr>
          <w:rFonts w:cstheme="minorHAnsi"/>
          <w:color w:val="auto"/>
        </w:rPr>
        <w:t xml:space="preserve">Information supplied by candidates in their application (Cover Letter and CV) will be used to shortlist for interview. </w:t>
      </w:r>
    </w:p>
    <w:p w14:paraId="30FD76CF" w14:textId="77777777" w:rsidR="00751F03" w:rsidRPr="00400BD5" w:rsidRDefault="00751F03" w:rsidP="00751F03">
      <w:pPr>
        <w:rPr>
          <w:rFonts w:cstheme="minorHAnsi"/>
          <w:color w:val="auto"/>
        </w:rPr>
      </w:pPr>
    </w:p>
    <w:p w14:paraId="06C39DB9" w14:textId="77777777" w:rsidR="00751F03" w:rsidRPr="00400BD5" w:rsidRDefault="00751F03" w:rsidP="00751F03">
      <w:pPr>
        <w:rPr>
          <w:rFonts w:cstheme="minorHAnsi"/>
          <w:color w:val="auto"/>
          <w:lang w:val="en-IE"/>
        </w:rPr>
      </w:pPr>
      <w:r w:rsidRPr="00400BD5">
        <w:rPr>
          <w:rFonts w:cstheme="minorHAnsi"/>
          <w:color w:val="auto"/>
          <w:lang w:val="en-IE"/>
        </w:rPr>
        <w:t xml:space="preserve">Applications from non-EEA citizens are welcomed. However, eligibility is determined by the Department of Business, Enterprise and Innovation and further information on the Highly Skills Eligible Occupations List is set out in Schedule 3 of the Regulations </w:t>
      </w:r>
      <w:hyperlink r:id="rId16" w:history="1">
        <w:r w:rsidRPr="00400BD5">
          <w:rPr>
            <w:rStyle w:val="Hyperlink"/>
            <w:rFonts w:eastAsia="Times New Roman" w:cstheme="minorHAnsi"/>
          </w:rPr>
          <w:t>https://dbei.gov.ie/en/What-We-Do/Workplace-and-Skills/Employment-Permits/Employment-Permit-Eligibility/Highly-Skilled-Eligible-Occupations-List/</w:t>
        </w:r>
      </w:hyperlink>
      <w:r w:rsidRPr="00400BD5">
        <w:rPr>
          <w:rFonts w:cstheme="minorHAnsi"/>
          <w:color w:val="0070C0"/>
          <w:lang w:val="en-IE"/>
        </w:rPr>
        <w:t xml:space="preserve"> </w:t>
      </w:r>
      <w:r w:rsidRPr="00400BD5">
        <w:rPr>
          <w:rFonts w:cstheme="minorHAnsi"/>
          <w:color w:val="auto"/>
          <w:lang w:val="en-IE"/>
        </w:rPr>
        <w:t xml:space="preserve">and the  Ineligible Categories of Employment are set out in Schedule 4 of the Regulations  </w:t>
      </w:r>
      <w:hyperlink r:id="rId17" w:history="1">
        <w:r w:rsidRPr="00400BD5">
          <w:rPr>
            <w:rStyle w:val="Hyperlink"/>
            <w:rFonts w:cstheme="minorHAnsi"/>
          </w:rPr>
          <w:t>https://dbei.gov.ie/en/What-We-Do/Workplace-and-Skills/Employment-Permits/Employment-Permit-Eligibility/Ineligible-Categories-of-Employment/</w:t>
        </w:r>
      </w:hyperlink>
      <w:r w:rsidRPr="00400BD5">
        <w:rPr>
          <w:rFonts w:cstheme="minorHAnsi"/>
        </w:rPr>
        <w:t xml:space="preserve"> </w:t>
      </w:r>
      <w:r w:rsidRPr="00400BD5">
        <w:rPr>
          <w:rFonts w:cstheme="minorHAnsi"/>
          <w:color w:val="auto"/>
        </w:rPr>
        <w:t xml:space="preserve">. </w:t>
      </w:r>
      <w:r w:rsidRPr="00400BD5">
        <w:rPr>
          <w:rFonts w:cstheme="minorHAnsi"/>
          <w:color w:val="auto"/>
          <w:lang w:val="en-IE"/>
        </w:rPr>
        <w:t xml:space="preserve">Non-EEA candidates should note that the onus is on them to secure a visa to travel to Ireland prior to interview. Non-EEA candidates should also be aware that even if successful at interview, an appointment to the post is contingent on the securing of an employment permit. </w:t>
      </w:r>
      <w:r w:rsidRPr="00400BD5">
        <w:rPr>
          <w:rFonts w:cstheme="minorHAnsi"/>
          <w:color w:val="auto"/>
          <w:lang w:val="en-IE"/>
        </w:rPr>
        <w:br w:type="page"/>
      </w:r>
    </w:p>
    <w:p w14:paraId="1986705E" w14:textId="77777777" w:rsidR="00751F03" w:rsidRPr="00400BD5" w:rsidRDefault="00751F03" w:rsidP="00751F03">
      <w:pPr>
        <w:rPr>
          <w:rFonts w:cstheme="minorHAnsi"/>
          <w:color w:val="auto"/>
          <w:lang w:val="en-IE"/>
        </w:rPr>
        <w:sectPr w:rsidR="00751F03" w:rsidRPr="00400BD5">
          <w:footerReference w:type="default" r:id="rId18"/>
          <w:headerReference w:type="first" r:id="rId19"/>
          <w:type w:val="continuous"/>
          <w:pgSz w:w="11906" w:h="16838"/>
          <w:pgMar w:top="1440" w:right="1274" w:bottom="993" w:left="1440" w:header="708" w:footer="239" w:gutter="0"/>
          <w:cols w:space="720"/>
        </w:sectPr>
      </w:pPr>
    </w:p>
    <w:p w14:paraId="5591756D" w14:textId="77777777" w:rsidR="00751F03" w:rsidRPr="00400BD5" w:rsidRDefault="00751F03" w:rsidP="00751F03">
      <w:pPr>
        <w:rPr>
          <w:rFonts w:cstheme="minorHAnsi"/>
          <w:b/>
          <w:color w:val="auto"/>
          <w:lang w:val="en-IE"/>
        </w:rPr>
      </w:pPr>
      <w:r w:rsidRPr="00400BD5">
        <w:rPr>
          <w:rFonts w:cstheme="minorHAnsi"/>
          <w:b/>
          <w:color w:val="auto"/>
          <w:lang w:val="en-IE"/>
        </w:rPr>
        <w:lastRenderedPageBreak/>
        <w:t>Equal Opportunities Policy</w:t>
      </w:r>
    </w:p>
    <w:p w14:paraId="4852C80A" w14:textId="77777777" w:rsidR="00751F03" w:rsidRPr="00400BD5" w:rsidRDefault="00751F03" w:rsidP="00751F03">
      <w:pPr>
        <w:rPr>
          <w:rFonts w:cstheme="minorHAnsi"/>
          <w:color w:val="auto"/>
          <w:lang w:val="en-IE"/>
        </w:rPr>
      </w:pPr>
    </w:p>
    <w:p w14:paraId="2AD101A0" w14:textId="77777777" w:rsidR="00751F03" w:rsidRPr="00400BD5" w:rsidRDefault="00751F03" w:rsidP="00751F03">
      <w:pPr>
        <w:rPr>
          <w:rFonts w:cstheme="minorHAnsi"/>
          <w:color w:val="auto"/>
          <w:lang w:val="en-IE"/>
        </w:rPr>
      </w:pPr>
      <w:r w:rsidRPr="00400BD5">
        <w:rPr>
          <w:rFonts w:cstheme="minorHAnsi"/>
          <w:color w:val="auto"/>
          <w:lang w:val="en-IE"/>
        </w:rPr>
        <w:t xml:space="preserve">Trinity is an equal opportunities employer and is committed to employment policies, procedures and practices which do not discriminate on grounds such as gender, civil status, family status, age, disability, race, religious belief, sexual orientation or membership of the travelling community. On that basis we encourage and welcome talented people from all backgrounds to join our staff community. Trinity’s Diversity Statement can be viewed in full at </w:t>
      </w:r>
      <w:hyperlink r:id="rId20" w:history="1">
        <w:r w:rsidRPr="00400BD5">
          <w:rPr>
            <w:rStyle w:val="Hyperlink"/>
            <w:rFonts w:cstheme="minorHAnsi"/>
            <w:lang w:val="en-IE"/>
          </w:rPr>
          <w:t>https://www.tcd.ie/diversity-inclusion/diversity-statement</w:t>
        </w:r>
      </w:hyperlink>
      <w:r w:rsidRPr="00400BD5">
        <w:rPr>
          <w:rFonts w:cstheme="minorHAnsi"/>
          <w:color w:val="0000FF"/>
          <w:lang w:val="en-IE"/>
        </w:rPr>
        <w:t>.</w:t>
      </w:r>
    </w:p>
    <w:p w14:paraId="2F38105F" w14:textId="77777777" w:rsidR="00751F03" w:rsidRPr="00400BD5" w:rsidRDefault="00751F03" w:rsidP="00751F03">
      <w:pPr>
        <w:rPr>
          <w:rFonts w:cstheme="minorHAnsi"/>
          <w:color w:val="auto"/>
          <w:lang w:val="en-IE"/>
        </w:rPr>
      </w:pPr>
      <w:r w:rsidRPr="00400BD5">
        <w:rPr>
          <w:rFonts w:cstheme="minorHAnsi"/>
          <w:color w:val="auto"/>
          <w:lang w:val="en-IE"/>
        </w:rPr>
        <w:t xml:space="preserve">    </w:t>
      </w:r>
    </w:p>
    <w:p w14:paraId="14D8DDA9" w14:textId="77777777" w:rsidR="00751F03" w:rsidRPr="00400BD5" w:rsidRDefault="00751F03" w:rsidP="00751F03">
      <w:pPr>
        <w:rPr>
          <w:rFonts w:cstheme="minorHAnsi"/>
          <w:color w:val="auto"/>
        </w:rPr>
      </w:pPr>
      <w:r w:rsidRPr="00400BD5">
        <w:rPr>
          <w:rFonts w:cstheme="minorHAnsi"/>
          <w:b/>
          <w:color w:val="auto"/>
        </w:rPr>
        <w:t>Pension Entitlements</w:t>
      </w:r>
      <w:r w:rsidRPr="00400BD5">
        <w:rPr>
          <w:rFonts w:cstheme="minorHAnsi"/>
          <w:b/>
          <w:color w:val="auto"/>
        </w:rPr>
        <w:br/>
      </w:r>
    </w:p>
    <w:p w14:paraId="5EBC6B5E" w14:textId="77777777" w:rsidR="00751F03" w:rsidRPr="00400BD5" w:rsidRDefault="00751F03" w:rsidP="00751F03">
      <w:pPr>
        <w:rPr>
          <w:rFonts w:cstheme="minorHAnsi"/>
          <w:color w:val="auto"/>
        </w:rPr>
      </w:pPr>
      <w:r w:rsidRPr="00400BD5">
        <w:rPr>
          <w:rFonts w:cstheme="minorHAnsi"/>
          <w:color w:val="auto"/>
        </w:rPr>
        <w:t>This is a pensionable position and the provisions of the Public Service Superannuation (Miscellaneous Provisions) Act 2004 will apply in relation to retirement age for pension purposes.  Details of the relevant Pension Scheme will be provided to the successful applicant.</w:t>
      </w:r>
    </w:p>
    <w:p w14:paraId="7D6FE038" w14:textId="77777777" w:rsidR="00751F03" w:rsidRPr="00400BD5" w:rsidRDefault="00751F03" w:rsidP="00751F03">
      <w:pPr>
        <w:rPr>
          <w:rFonts w:cstheme="minorHAnsi"/>
          <w:color w:val="auto"/>
        </w:rPr>
      </w:pPr>
    </w:p>
    <w:p w14:paraId="47F9B3D6" w14:textId="77777777" w:rsidR="00751F03" w:rsidRPr="00400BD5" w:rsidRDefault="00751F03" w:rsidP="00751F03">
      <w:pPr>
        <w:rPr>
          <w:rFonts w:cstheme="minorHAnsi"/>
          <w:color w:val="auto"/>
        </w:rPr>
      </w:pPr>
      <w:r w:rsidRPr="00400BD5">
        <w:rPr>
          <w:rFonts w:cstheme="minorHAnsi"/>
          <w:color w:val="auto"/>
        </w:rPr>
        <w:t>Applicants should note that they will be required to complete a Pre-Employment Declaration to confirm whether or not they have previously availed of an Irish Public Service Scheme of incentivised early retirement or enhanced redundancy payment.  Applicants will also be required to declare any entitlements to a Public Service pension benefit (in payment or preserved) from any other Irish Public Service employment.</w:t>
      </w:r>
    </w:p>
    <w:p w14:paraId="5174FD5F" w14:textId="77777777" w:rsidR="00751F03" w:rsidRPr="00400BD5" w:rsidRDefault="00751F03" w:rsidP="00751F03">
      <w:pPr>
        <w:rPr>
          <w:rFonts w:cstheme="minorHAnsi"/>
          <w:color w:val="auto"/>
        </w:rPr>
      </w:pPr>
    </w:p>
    <w:p w14:paraId="1028FD2E" w14:textId="77777777" w:rsidR="00751F03" w:rsidRPr="00400BD5" w:rsidRDefault="00751F03" w:rsidP="00751F03">
      <w:pPr>
        <w:rPr>
          <w:rFonts w:cstheme="minorHAnsi"/>
          <w:color w:val="auto"/>
        </w:rPr>
      </w:pPr>
      <w:r w:rsidRPr="00400BD5">
        <w:rPr>
          <w:rFonts w:cstheme="minorHAnsi"/>
          <w:color w:val="auto"/>
        </w:rPr>
        <w:t>Applicants formerly employed by the Irish Public Service that may previously have availed of an Irish Public Service Scheme of Incentivised early retirement or enhanced redundancy payment should ensure that they are not precluded from re-engagement in the Irish Public Service under the terms of such Schemes.  Such queries should be directed to an applicant’s former Irish Public Service Employer in the first instance.</w:t>
      </w:r>
    </w:p>
    <w:p w14:paraId="0F85951F" w14:textId="77777777" w:rsidR="00751F03" w:rsidRPr="00400BD5" w:rsidRDefault="00751F03" w:rsidP="00751F03">
      <w:pPr>
        <w:rPr>
          <w:rFonts w:cstheme="minorHAnsi"/>
          <w:color w:val="auto"/>
          <w:lang w:val="en-IE"/>
        </w:rPr>
        <w:sectPr w:rsidR="00751F03" w:rsidRPr="00400BD5">
          <w:type w:val="continuous"/>
          <w:pgSz w:w="11906" w:h="16838"/>
          <w:pgMar w:top="1440" w:right="1274" w:bottom="993" w:left="1440" w:header="708" w:footer="239" w:gutter="0"/>
          <w:cols w:space="720"/>
        </w:sectPr>
      </w:pPr>
    </w:p>
    <w:p w14:paraId="12B67DB6" w14:textId="77777777" w:rsidR="00751F03" w:rsidRPr="00400BD5" w:rsidRDefault="00751F03" w:rsidP="00751F03">
      <w:pPr>
        <w:rPr>
          <w:rFonts w:cstheme="minorHAnsi"/>
          <w:color w:val="auto"/>
          <w:lang w:val="en-IE"/>
        </w:rPr>
      </w:pPr>
    </w:p>
    <w:p w14:paraId="7E017279" w14:textId="77777777" w:rsidR="00751F03" w:rsidRPr="00400BD5" w:rsidRDefault="00751F03" w:rsidP="00751F03">
      <w:pPr>
        <w:spacing w:after="200"/>
        <w:rPr>
          <w:rFonts w:cstheme="minorHAnsi"/>
          <w:color w:val="auto"/>
          <w:sz w:val="22"/>
        </w:rPr>
      </w:pPr>
      <w:r w:rsidRPr="00400BD5">
        <w:rPr>
          <w:rFonts w:cstheme="minorHAnsi"/>
          <w:color w:val="auto"/>
          <w:sz w:val="22"/>
        </w:rPr>
        <w:br w:type="page"/>
      </w:r>
    </w:p>
    <w:p w14:paraId="1891977A" w14:textId="77777777" w:rsidR="00EC3EAC" w:rsidRPr="00A519F4" w:rsidRDefault="00EC3EAC" w:rsidP="00A5441F">
      <w:pPr>
        <w:rPr>
          <w:b/>
          <w:color w:val="000000" w:themeColor="text1"/>
          <w:lang w:val="en-IE"/>
        </w:rPr>
        <w:sectPr w:rsidR="00EC3EAC" w:rsidRPr="00A519F4" w:rsidSect="005F3E29">
          <w:type w:val="continuous"/>
          <w:pgSz w:w="11906" w:h="16838"/>
          <w:pgMar w:top="1440" w:right="1274" w:bottom="993" w:left="1440" w:header="708" w:footer="239" w:gutter="0"/>
          <w:cols w:space="708"/>
          <w:docGrid w:linePitch="360"/>
        </w:sectPr>
      </w:pPr>
    </w:p>
    <w:p w14:paraId="246CDF31" w14:textId="23172025" w:rsidR="00A5441F" w:rsidRDefault="00A5441F" w:rsidP="00A5441F">
      <w:pPr>
        <w:rPr>
          <w:b/>
          <w:color w:val="000000" w:themeColor="text1"/>
          <w:lang w:val="en-IE"/>
        </w:rPr>
      </w:pPr>
      <w:r w:rsidRPr="00A519F4">
        <w:rPr>
          <w:b/>
          <w:color w:val="000000" w:themeColor="text1"/>
          <w:lang w:val="en-IE"/>
        </w:rPr>
        <w:lastRenderedPageBreak/>
        <w:t>Application Procedure</w:t>
      </w:r>
    </w:p>
    <w:p w14:paraId="4938E92F" w14:textId="77777777" w:rsidR="00953725" w:rsidRPr="00A519F4" w:rsidRDefault="00953725" w:rsidP="00A5441F">
      <w:pPr>
        <w:rPr>
          <w:b/>
          <w:color w:val="000000" w:themeColor="text1"/>
          <w:lang w:val="en-IE"/>
        </w:rPr>
      </w:pPr>
    </w:p>
    <w:p w14:paraId="7FBB134B" w14:textId="77777777" w:rsidR="00A5441F" w:rsidRPr="00A519F4" w:rsidRDefault="00A5441F" w:rsidP="00A5441F">
      <w:pPr>
        <w:pStyle w:val="BlockText"/>
        <w:spacing w:before="0" w:beforeAutospacing="0" w:after="0" w:line="360" w:lineRule="auto"/>
        <w:ind w:left="0"/>
        <w:contextualSpacing/>
        <w:jc w:val="left"/>
        <w:rPr>
          <w:rFonts w:asciiTheme="minorHAnsi" w:hAnsiTheme="minorHAnsi"/>
          <w:color w:val="000000" w:themeColor="text1"/>
          <w:sz w:val="24"/>
          <w:lang w:val="en-IE"/>
        </w:rPr>
      </w:pPr>
    </w:p>
    <w:p w14:paraId="46E022CD" w14:textId="77777777" w:rsidR="00A5441F" w:rsidRPr="00A519F4" w:rsidRDefault="00A5441F" w:rsidP="00A5441F">
      <w:pPr>
        <w:pBdr>
          <w:top w:val="single" w:sz="4" w:space="1" w:color="auto"/>
          <w:left w:val="single" w:sz="4" w:space="4" w:color="auto"/>
          <w:bottom w:val="single" w:sz="4" w:space="1" w:color="auto"/>
          <w:right w:val="single" w:sz="4" w:space="4" w:color="auto"/>
        </w:pBdr>
        <w:shd w:val="clear" w:color="auto" w:fill="E0E0E0"/>
        <w:contextualSpacing/>
        <w:rPr>
          <w:rFonts w:cs="Arial"/>
          <w:b/>
          <w:bCs/>
          <w:color w:val="000000" w:themeColor="text1"/>
          <w:u w:val="single"/>
          <w:lang w:val="en-IE"/>
        </w:rPr>
      </w:pPr>
    </w:p>
    <w:p w14:paraId="1FA3E45F" w14:textId="77777777" w:rsidR="00041E49" w:rsidRPr="00041E49" w:rsidRDefault="00041E49"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sidRPr="00041E49">
        <w:rPr>
          <w:rFonts w:cs="Arial"/>
          <w:b/>
          <w:bCs/>
          <w:color w:val="auto"/>
          <w:lang w:val="en-IE"/>
        </w:rPr>
        <w:t>Application Procedure</w:t>
      </w:r>
    </w:p>
    <w:p w14:paraId="69884F46" w14:textId="67B3B70D" w:rsidR="00041E49" w:rsidRDefault="001035AF"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Cs/>
          <w:color w:val="auto"/>
          <w:lang w:val="en-IE"/>
        </w:rPr>
      </w:pPr>
      <w:r w:rsidRPr="00645CF5">
        <w:rPr>
          <w:color w:val="000000" w:themeColor="text1"/>
        </w:rPr>
        <w:t xml:space="preserve">Applicants should submit </w:t>
      </w:r>
      <w:r>
        <w:rPr>
          <w:color w:val="000000" w:themeColor="text1"/>
        </w:rPr>
        <w:t xml:space="preserve">in </w:t>
      </w:r>
      <w:r w:rsidRPr="004B3714">
        <w:rPr>
          <w:b/>
          <w:bCs/>
          <w:color w:val="000000" w:themeColor="text1"/>
        </w:rPr>
        <w:t>one document</w:t>
      </w:r>
      <w:r>
        <w:rPr>
          <w:color w:val="000000" w:themeColor="text1"/>
        </w:rPr>
        <w:t xml:space="preserve">: </w:t>
      </w:r>
      <w:r w:rsidRPr="00645CF5">
        <w:rPr>
          <w:color w:val="000000" w:themeColor="text1"/>
        </w:rPr>
        <w:t xml:space="preserve">a </w:t>
      </w:r>
      <w:r>
        <w:rPr>
          <w:color w:val="000000" w:themeColor="text1"/>
        </w:rPr>
        <w:t xml:space="preserve">cover letter setting out your motivation for applying for the role and how your skills meet the requirements set out in this document </w:t>
      </w:r>
      <w:r w:rsidRPr="004B3714">
        <w:rPr>
          <w:b/>
          <w:bCs/>
          <w:color w:val="000000" w:themeColor="text1"/>
        </w:rPr>
        <w:t>AND</w:t>
      </w:r>
      <w:r>
        <w:rPr>
          <w:color w:val="000000" w:themeColor="text1"/>
        </w:rPr>
        <w:t xml:space="preserve"> a 2 page</w:t>
      </w:r>
      <w:r w:rsidRPr="00645CF5">
        <w:rPr>
          <w:color w:val="000000" w:themeColor="text1"/>
        </w:rPr>
        <w:t xml:space="preserve"> Curriculum Vitae to include the names and contact details of 2 referees (including email addresses), to:-</w:t>
      </w:r>
    </w:p>
    <w:p w14:paraId="2D5623BF" w14:textId="6A7C7FB7" w:rsidR="000F3E43" w:rsidRDefault="00D76A32"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Pr>
          <w:rFonts w:cs="Arial"/>
          <w:b/>
          <w:bCs/>
          <w:color w:val="auto"/>
          <w:lang w:val="en-IE"/>
        </w:rPr>
        <w:t>Daisy Gallagher</w:t>
      </w:r>
    </w:p>
    <w:p w14:paraId="0BD513C6" w14:textId="1F44DB7F" w:rsidR="00953725" w:rsidRDefault="00953725"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Pr>
          <w:rFonts w:cs="Arial"/>
          <w:b/>
          <w:bCs/>
          <w:color w:val="auto"/>
          <w:lang w:val="en-IE"/>
        </w:rPr>
        <w:t xml:space="preserve">Email: </w:t>
      </w:r>
      <w:hyperlink r:id="rId21" w:history="1">
        <w:r w:rsidR="00D76A32" w:rsidRPr="00D32925">
          <w:rPr>
            <w:rStyle w:val="Hyperlink"/>
            <w:rFonts w:cs="Arial"/>
            <w:b/>
            <w:bCs/>
            <w:lang w:val="en-IE"/>
          </w:rPr>
          <w:t>DGALLAG3@tcd.ie</w:t>
        </w:r>
      </w:hyperlink>
    </w:p>
    <w:p w14:paraId="31CC6157" w14:textId="37546F62" w:rsidR="00D76A32" w:rsidRPr="000F3E43" w:rsidRDefault="00D76A32"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sidRPr="00D76A32">
        <w:rPr>
          <w:rFonts w:cs="Arial"/>
          <w:color w:val="auto"/>
          <w:lang w:val="en-IE"/>
        </w:rPr>
        <w:t>Informal enquiries about the post can be sent to Prof. Anna Davies</w:t>
      </w:r>
      <w:r>
        <w:rPr>
          <w:rFonts w:cs="Arial"/>
          <w:b/>
          <w:bCs/>
          <w:color w:val="auto"/>
          <w:lang w:val="en-IE"/>
        </w:rPr>
        <w:t xml:space="preserve"> </w:t>
      </w:r>
      <w:hyperlink r:id="rId22" w:history="1">
        <w:r w:rsidRPr="00D32925">
          <w:rPr>
            <w:rStyle w:val="Hyperlink"/>
            <w:rFonts w:cs="Arial"/>
            <w:b/>
            <w:bCs/>
            <w:lang w:val="en-IE"/>
          </w:rPr>
          <w:t>daviesa@tcd.ie</w:t>
        </w:r>
      </w:hyperlink>
      <w:r>
        <w:rPr>
          <w:rFonts w:cs="Arial"/>
          <w:b/>
          <w:bCs/>
          <w:color w:val="auto"/>
          <w:lang w:val="en-IE"/>
        </w:rPr>
        <w:t xml:space="preserve"> </w:t>
      </w:r>
    </w:p>
    <w:p w14:paraId="6BF730DF" w14:textId="77777777" w:rsidR="00454FFB" w:rsidRDefault="00454FFB" w:rsidP="00454FFB">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color w:val="auto"/>
          <w:lang w:val="en-IE"/>
        </w:rPr>
      </w:pPr>
    </w:p>
    <w:p w14:paraId="051ADBE4" w14:textId="77777777" w:rsidR="00FF65CC" w:rsidRPr="00454FFB" w:rsidRDefault="00FF65CC" w:rsidP="00454FFB">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color w:val="auto"/>
          <w:lang w:val="en-IE"/>
        </w:rPr>
      </w:pPr>
    </w:p>
    <w:p w14:paraId="72727D7C" w14:textId="77777777" w:rsidR="00771180" w:rsidRDefault="00771180" w:rsidP="00597272">
      <w:pPr>
        <w:rPr>
          <w:color w:val="000000" w:themeColor="text1"/>
          <w:sz w:val="22"/>
        </w:rPr>
      </w:pPr>
    </w:p>
    <w:p w14:paraId="2D44FF13" w14:textId="77777777" w:rsidR="008C77DE" w:rsidRPr="00A519F4" w:rsidRDefault="008C77DE" w:rsidP="008E54D9">
      <w:pPr>
        <w:jc w:val="center"/>
        <w:rPr>
          <w:color w:val="000000" w:themeColor="text1"/>
          <w:sz w:val="22"/>
        </w:rPr>
      </w:pPr>
      <w:r>
        <w:rPr>
          <w:noProof/>
          <w:lang w:val="en-IE" w:eastAsia="en-IE"/>
        </w:rPr>
        <w:drawing>
          <wp:inline distT="0" distB="0" distL="0" distR="0" wp14:anchorId="4AFA4DA6" wp14:editId="7F81B9A9">
            <wp:extent cx="5836920" cy="1653170"/>
            <wp:effectExtent l="0" t="0" r="0" b="4445"/>
            <wp:docPr id="3" name="Picture 3" descr="R:\Recruitment\Templates\Job Description Templates\Logos.jpg"/>
            <wp:cNvGraphicFramePr/>
            <a:graphic xmlns:a="http://schemas.openxmlformats.org/drawingml/2006/main">
              <a:graphicData uri="http://schemas.openxmlformats.org/drawingml/2006/picture">
                <pic:pic xmlns:pic="http://schemas.openxmlformats.org/drawingml/2006/picture">
                  <pic:nvPicPr>
                    <pic:cNvPr id="5" name="Picture 5" descr="R:\Recruitment\Templates\Job Description Templates\Logos.jpg"/>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6920" cy="1653170"/>
                    </a:xfrm>
                    <a:prstGeom prst="rect">
                      <a:avLst/>
                    </a:prstGeom>
                    <a:noFill/>
                    <a:ln>
                      <a:noFill/>
                    </a:ln>
                  </pic:spPr>
                </pic:pic>
              </a:graphicData>
            </a:graphic>
          </wp:inline>
        </w:drawing>
      </w:r>
    </w:p>
    <w:sectPr w:rsidR="008C77DE" w:rsidRPr="00A519F4" w:rsidSect="005F3E29">
      <w:type w:val="continuous"/>
      <w:pgSz w:w="11906" w:h="16838"/>
      <w:pgMar w:top="1440" w:right="1274" w:bottom="993" w:left="1440" w:header="708" w:footer="23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BBA60" w14:textId="77777777" w:rsidR="003D12D1" w:rsidRDefault="003D12D1" w:rsidP="009D27B0">
      <w:pPr>
        <w:spacing w:line="240" w:lineRule="auto"/>
      </w:pPr>
      <w:r>
        <w:separator/>
      </w:r>
    </w:p>
  </w:endnote>
  <w:endnote w:type="continuationSeparator" w:id="0">
    <w:p w14:paraId="663EDF37" w14:textId="77777777" w:rsidR="003D12D1" w:rsidRDefault="003D12D1" w:rsidP="009D27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34156"/>
      <w:docPartObj>
        <w:docPartGallery w:val="Page Numbers (Bottom of Page)"/>
        <w:docPartUnique/>
      </w:docPartObj>
    </w:sdtPr>
    <w:sdtEndPr>
      <w:rPr>
        <w:noProof/>
      </w:rPr>
    </w:sdtEndPr>
    <w:sdtContent>
      <w:p w14:paraId="273059EB" w14:textId="77777777" w:rsidR="00751F03" w:rsidRDefault="00751F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F6598D" w14:textId="77777777" w:rsidR="009D27B0" w:rsidRDefault="009D2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63A5" w14:textId="77777777" w:rsidR="003D12D1" w:rsidRDefault="003D12D1" w:rsidP="009D27B0">
      <w:pPr>
        <w:spacing w:line="240" w:lineRule="auto"/>
      </w:pPr>
      <w:r>
        <w:separator/>
      </w:r>
    </w:p>
  </w:footnote>
  <w:footnote w:type="continuationSeparator" w:id="0">
    <w:p w14:paraId="174E254A" w14:textId="77777777" w:rsidR="003D12D1" w:rsidRDefault="003D12D1" w:rsidP="009D27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C3C0" w14:textId="77777777" w:rsidR="0087685C" w:rsidRDefault="005423E3" w:rsidP="0087685C">
    <w:pPr>
      <w:pStyle w:val="Header"/>
      <w:ind w:left="-1134"/>
    </w:pPr>
    <w:r w:rsidRPr="005423E3">
      <w:rPr>
        <w:noProof/>
        <w:lang w:val="en-IE" w:eastAsia="en-IE"/>
      </w:rPr>
      <w:drawing>
        <wp:inline distT="0" distB="0" distL="0" distR="0" wp14:anchorId="4BBA11CF" wp14:editId="3C4A096B">
          <wp:extent cx="3108960" cy="1200969"/>
          <wp:effectExtent l="0" t="0" r="0" b="0"/>
          <wp:docPr id="2" name="Picture 2" descr="R:\Recruitment\Templates\TCD Logo\TCD-Common-Us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ecruitment\Templates\TCD Logo\TCD-Common-Use-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9770" cy="1205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D62"/>
    <w:multiLevelType w:val="hybridMultilevel"/>
    <w:tmpl w:val="49826F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F33535"/>
    <w:multiLevelType w:val="hybridMultilevel"/>
    <w:tmpl w:val="E88AB18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1C3844"/>
    <w:multiLevelType w:val="hybridMultilevel"/>
    <w:tmpl w:val="A752805A"/>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3" w15:restartNumberingAfterBreak="0">
    <w:nsid w:val="0A4103CD"/>
    <w:multiLevelType w:val="hybridMultilevel"/>
    <w:tmpl w:val="069849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CC7AED"/>
    <w:multiLevelType w:val="hybridMultilevel"/>
    <w:tmpl w:val="314A3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2537FF"/>
    <w:multiLevelType w:val="hybridMultilevel"/>
    <w:tmpl w:val="DC044906"/>
    <w:lvl w:ilvl="0" w:tplc="AFCEEC12">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68261C"/>
    <w:multiLevelType w:val="hybridMultilevel"/>
    <w:tmpl w:val="5950BBF8"/>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7" w15:restartNumberingAfterBreak="0">
    <w:nsid w:val="1CCB4EE7"/>
    <w:multiLevelType w:val="hybridMultilevel"/>
    <w:tmpl w:val="5734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74763"/>
    <w:multiLevelType w:val="hybridMultilevel"/>
    <w:tmpl w:val="62D4E8A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7342D14"/>
    <w:multiLevelType w:val="hybridMultilevel"/>
    <w:tmpl w:val="2D44D72C"/>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10" w15:restartNumberingAfterBreak="0">
    <w:nsid w:val="278D7439"/>
    <w:multiLevelType w:val="hybridMultilevel"/>
    <w:tmpl w:val="F23EBBB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C276EFE"/>
    <w:multiLevelType w:val="hybridMultilevel"/>
    <w:tmpl w:val="8562863E"/>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832C99"/>
    <w:multiLevelType w:val="hybridMultilevel"/>
    <w:tmpl w:val="2564F7E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13" w15:restartNumberingAfterBreak="0">
    <w:nsid w:val="497302F4"/>
    <w:multiLevelType w:val="hybridMultilevel"/>
    <w:tmpl w:val="EDE0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2641E5"/>
    <w:multiLevelType w:val="hybridMultilevel"/>
    <w:tmpl w:val="471A4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7B7BE0"/>
    <w:multiLevelType w:val="hybridMultilevel"/>
    <w:tmpl w:val="B6BE326C"/>
    <w:lvl w:ilvl="0" w:tplc="CDEE98CE">
      <w:start w:val="1"/>
      <w:numFmt w:val="decimal"/>
      <w:lvlText w:val="%1."/>
      <w:lvlJc w:val="left"/>
      <w:pPr>
        <w:ind w:left="363" w:hanging="360"/>
      </w:pPr>
      <w:rPr>
        <w:rFonts w:ascii="Arial" w:eastAsia="Times New Roman" w:hAnsi="Arial" w:cs="Arial"/>
      </w:rPr>
    </w:lvl>
    <w:lvl w:ilvl="1" w:tplc="18090019" w:tentative="1">
      <w:start w:val="1"/>
      <w:numFmt w:val="lowerLetter"/>
      <w:lvlText w:val="%2."/>
      <w:lvlJc w:val="left"/>
      <w:pPr>
        <w:ind w:left="1083" w:hanging="360"/>
      </w:pPr>
    </w:lvl>
    <w:lvl w:ilvl="2" w:tplc="1809001B" w:tentative="1">
      <w:start w:val="1"/>
      <w:numFmt w:val="lowerRoman"/>
      <w:lvlText w:val="%3."/>
      <w:lvlJc w:val="right"/>
      <w:pPr>
        <w:ind w:left="1803" w:hanging="180"/>
      </w:pPr>
    </w:lvl>
    <w:lvl w:ilvl="3" w:tplc="1809000F" w:tentative="1">
      <w:start w:val="1"/>
      <w:numFmt w:val="decimal"/>
      <w:lvlText w:val="%4."/>
      <w:lvlJc w:val="left"/>
      <w:pPr>
        <w:ind w:left="2523" w:hanging="360"/>
      </w:pPr>
    </w:lvl>
    <w:lvl w:ilvl="4" w:tplc="18090019" w:tentative="1">
      <w:start w:val="1"/>
      <w:numFmt w:val="lowerLetter"/>
      <w:lvlText w:val="%5."/>
      <w:lvlJc w:val="left"/>
      <w:pPr>
        <w:ind w:left="3243" w:hanging="360"/>
      </w:pPr>
    </w:lvl>
    <w:lvl w:ilvl="5" w:tplc="1809001B" w:tentative="1">
      <w:start w:val="1"/>
      <w:numFmt w:val="lowerRoman"/>
      <w:lvlText w:val="%6."/>
      <w:lvlJc w:val="right"/>
      <w:pPr>
        <w:ind w:left="3963" w:hanging="180"/>
      </w:pPr>
    </w:lvl>
    <w:lvl w:ilvl="6" w:tplc="1809000F" w:tentative="1">
      <w:start w:val="1"/>
      <w:numFmt w:val="decimal"/>
      <w:lvlText w:val="%7."/>
      <w:lvlJc w:val="left"/>
      <w:pPr>
        <w:ind w:left="4683" w:hanging="360"/>
      </w:pPr>
    </w:lvl>
    <w:lvl w:ilvl="7" w:tplc="18090019" w:tentative="1">
      <w:start w:val="1"/>
      <w:numFmt w:val="lowerLetter"/>
      <w:lvlText w:val="%8."/>
      <w:lvlJc w:val="left"/>
      <w:pPr>
        <w:ind w:left="5403" w:hanging="360"/>
      </w:pPr>
    </w:lvl>
    <w:lvl w:ilvl="8" w:tplc="1809001B" w:tentative="1">
      <w:start w:val="1"/>
      <w:numFmt w:val="lowerRoman"/>
      <w:lvlText w:val="%9."/>
      <w:lvlJc w:val="right"/>
      <w:pPr>
        <w:ind w:left="6123" w:hanging="180"/>
      </w:pPr>
    </w:lvl>
  </w:abstractNum>
  <w:abstractNum w:abstractNumId="16" w15:restartNumberingAfterBreak="0">
    <w:nsid w:val="5881049E"/>
    <w:multiLevelType w:val="hybridMultilevel"/>
    <w:tmpl w:val="BFAE0EA8"/>
    <w:lvl w:ilvl="0" w:tplc="430A664A">
      <w:numFmt w:val="bullet"/>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5F1C044A"/>
    <w:multiLevelType w:val="hybridMultilevel"/>
    <w:tmpl w:val="726E81F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53F7639"/>
    <w:multiLevelType w:val="hybridMultilevel"/>
    <w:tmpl w:val="6FFE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DA1609"/>
    <w:multiLevelType w:val="hybridMultilevel"/>
    <w:tmpl w:val="B5424292"/>
    <w:lvl w:ilvl="0" w:tplc="782474F0">
      <w:start w:val="2"/>
      <w:numFmt w:val="bullet"/>
      <w:lvlText w:val="-"/>
      <w:lvlJc w:val="left"/>
      <w:pPr>
        <w:ind w:left="420" w:hanging="360"/>
      </w:pPr>
      <w:rPr>
        <w:rFonts w:ascii="Calibri" w:eastAsiaTheme="minorEastAsia" w:hAnsi="Calibri" w:cstheme="minorBidi"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0" w15:restartNumberingAfterBreak="0">
    <w:nsid w:val="77DD2638"/>
    <w:multiLevelType w:val="hybridMultilevel"/>
    <w:tmpl w:val="6D6C5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BC21B83"/>
    <w:multiLevelType w:val="hybridMultilevel"/>
    <w:tmpl w:val="391C66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48084886">
    <w:abstractNumId w:val="21"/>
  </w:num>
  <w:num w:numId="2" w16cid:durableId="1063988560">
    <w:abstractNumId w:val="3"/>
  </w:num>
  <w:num w:numId="3" w16cid:durableId="1793136602">
    <w:abstractNumId w:val="1"/>
  </w:num>
  <w:num w:numId="4" w16cid:durableId="127213647">
    <w:abstractNumId w:val="20"/>
  </w:num>
  <w:num w:numId="5" w16cid:durableId="226847759">
    <w:abstractNumId w:val="4"/>
  </w:num>
  <w:num w:numId="6" w16cid:durableId="2139686719">
    <w:abstractNumId w:val="8"/>
  </w:num>
  <w:num w:numId="7" w16cid:durableId="736174227">
    <w:abstractNumId w:val="10"/>
  </w:num>
  <w:num w:numId="8" w16cid:durableId="150341470">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799396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99289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4551258">
    <w:abstractNumId w:val="11"/>
  </w:num>
  <w:num w:numId="12" w16cid:durableId="1341658691">
    <w:abstractNumId w:val="19"/>
  </w:num>
  <w:num w:numId="13" w16cid:durableId="865368414">
    <w:abstractNumId w:val="15"/>
  </w:num>
  <w:num w:numId="14" w16cid:durableId="1412580140">
    <w:abstractNumId w:val="18"/>
  </w:num>
  <w:num w:numId="15" w16cid:durableId="840000940">
    <w:abstractNumId w:val="12"/>
  </w:num>
  <w:num w:numId="16" w16cid:durableId="1718240894">
    <w:abstractNumId w:val="17"/>
  </w:num>
  <w:num w:numId="17" w16cid:durableId="588276432">
    <w:abstractNumId w:val="16"/>
  </w:num>
  <w:num w:numId="18" w16cid:durableId="948656319">
    <w:abstractNumId w:val="0"/>
  </w:num>
  <w:num w:numId="19" w16cid:durableId="1253781574">
    <w:abstractNumId w:val="6"/>
  </w:num>
  <w:num w:numId="20" w16cid:durableId="1477452852">
    <w:abstractNumId w:val="9"/>
  </w:num>
  <w:num w:numId="21" w16cid:durableId="2081587006">
    <w:abstractNumId w:val="2"/>
  </w:num>
  <w:num w:numId="22" w16cid:durableId="2046055199">
    <w:abstractNumId w:val="7"/>
  </w:num>
  <w:num w:numId="23" w16cid:durableId="503714695">
    <w:abstractNumId w:val="13"/>
  </w:num>
  <w:num w:numId="24" w16cid:durableId="1680637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C9"/>
    <w:rsid w:val="00001089"/>
    <w:rsid w:val="000049DD"/>
    <w:rsid w:val="00024091"/>
    <w:rsid w:val="00026622"/>
    <w:rsid w:val="0003419A"/>
    <w:rsid w:val="00041E49"/>
    <w:rsid w:val="00044946"/>
    <w:rsid w:val="00047AF2"/>
    <w:rsid w:val="00055696"/>
    <w:rsid w:val="00071C3A"/>
    <w:rsid w:val="00077FB8"/>
    <w:rsid w:val="00087426"/>
    <w:rsid w:val="000A6528"/>
    <w:rsid w:val="000A7067"/>
    <w:rsid w:val="000B110F"/>
    <w:rsid w:val="000B30A5"/>
    <w:rsid w:val="000B3FF7"/>
    <w:rsid w:val="000B42DA"/>
    <w:rsid w:val="000B432A"/>
    <w:rsid w:val="000B6D67"/>
    <w:rsid w:val="000B7C62"/>
    <w:rsid w:val="000C12D1"/>
    <w:rsid w:val="000C1873"/>
    <w:rsid w:val="000C1AFA"/>
    <w:rsid w:val="000C72B0"/>
    <w:rsid w:val="000D4E10"/>
    <w:rsid w:val="000E662E"/>
    <w:rsid w:val="000F0B02"/>
    <w:rsid w:val="000F2A8C"/>
    <w:rsid w:val="000F3E43"/>
    <w:rsid w:val="001035AF"/>
    <w:rsid w:val="00104DB1"/>
    <w:rsid w:val="00107D76"/>
    <w:rsid w:val="001147DE"/>
    <w:rsid w:val="00116E3B"/>
    <w:rsid w:val="0012407E"/>
    <w:rsid w:val="001334A7"/>
    <w:rsid w:val="001341B9"/>
    <w:rsid w:val="00135776"/>
    <w:rsid w:val="001563F6"/>
    <w:rsid w:val="00161962"/>
    <w:rsid w:val="00161DC6"/>
    <w:rsid w:val="001642B4"/>
    <w:rsid w:val="00190B67"/>
    <w:rsid w:val="00197CE7"/>
    <w:rsid w:val="001A0AF2"/>
    <w:rsid w:val="001A73C4"/>
    <w:rsid w:val="001A7893"/>
    <w:rsid w:val="001B4C2C"/>
    <w:rsid w:val="001B6513"/>
    <w:rsid w:val="001C3AF8"/>
    <w:rsid w:val="001C6A19"/>
    <w:rsid w:val="001D5248"/>
    <w:rsid w:val="001D6868"/>
    <w:rsid w:val="001E5329"/>
    <w:rsid w:val="001F0A17"/>
    <w:rsid w:val="001F5DBC"/>
    <w:rsid w:val="001F671F"/>
    <w:rsid w:val="002004C1"/>
    <w:rsid w:val="00206F2B"/>
    <w:rsid w:val="00220E56"/>
    <w:rsid w:val="00224564"/>
    <w:rsid w:val="0022527C"/>
    <w:rsid w:val="0023021C"/>
    <w:rsid w:val="00230674"/>
    <w:rsid w:val="00235101"/>
    <w:rsid w:val="00247703"/>
    <w:rsid w:val="002567BA"/>
    <w:rsid w:val="00263D20"/>
    <w:rsid w:val="00267D6D"/>
    <w:rsid w:val="00282D26"/>
    <w:rsid w:val="0029195D"/>
    <w:rsid w:val="0029290C"/>
    <w:rsid w:val="00297A12"/>
    <w:rsid w:val="002A61F0"/>
    <w:rsid w:val="002B0D33"/>
    <w:rsid w:val="002B1D11"/>
    <w:rsid w:val="002C714F"/>
    <w:rsid w:val="002C79DF"/>
    <w:rsid w:val="002D4D87"/>
    <w:rsid w:val="002E0CFE"/>
    <w:rsid w:val="002F3D70"/>
    <w:rsid w:val="002F449F"/>
    <w:rsid w:val="00306442"/>
    <w:rsid w:val="00330EED"/>
    <w:rsid w:val="00334BF8"/>
    <w:rsid w:val="00337C39"/>
    <w:rsid w:val="0034049D"/>
    <w:rsid w:val="0034302A"/>
    <w:rsid w:val="0035267F"/>
    <w:rsid w:val="00353435"/>
    <w:rsid w:val="00364E0E"/>
    <w:rsid w:val="00370C2B"/>
    <w:rsid w:val="00372618"/>
    <w:rsid w:val="0037341F"/>
    <w:rsid w:val="003759DE"/>
    <w:rsid w:val="003B43F2"/>
    <w:rsid w:val="003B6A6B"/>
    <w:rsid w:val="003C598D"/>
    <w:rsid w:val="003D12D1"/>
    <w:rsid w:val="003D5EE0"/>
    <w:rsid w:val="003E0FC4"/>
    <w:rsid w:val="003F1831"/>
    <w:rsid w:val="00404338"/>
    <w:rsid w:val="00436579"/>
    <w:rsid w:val="0044241F"/>
    <w:rsid w:val="00442EB5"/>
    <w:rsid w:val="004437A9"/>
    <w:rsid w:val="0044666D"/>
    <w:rsid w:val="00452952"/>
    <w:rsid w:val="004532CC"/>
    <w:rsid w:val="00454435"/>
    <w:rsid w:val="00454FFB"/>
    <w:rsid w:val="0045706A"/>
    <w:rsid w:val="004619AD"/>
    <w:rsid w:val="00466B76"/>
    <w:rsid w:val="00467CA7"/>
    <w:rsid w:val="00475D0E"/>
    <w:rsid w:val="00477583"/>
    <w:rsid w:val="004834C1"/>
    <w:rsid w:val="00486833"/>
    <w:rsid w:val="004964B4"/>
    <w:rsid w:val="00497F31"/>
    <w:rsid w:val="004A0055"/>
    <w:rsid w:val="004A16E1"/>
    <w:rsid w:val="004A198E"/>
    <w:rsid w:val="004A7A12"/>
    <w:rsid w:val="004B37DA"/>
    <w:rsid w:val="004B60C4"/>
    <w:rsid w:val="004C17F3"/>
    <w:rsid w:val="004F3646"/>
    <w:rsid w:val="00500472"/>
    <w:rsid w:val="005027FE"/>
    <w:rsid w:val="005047AA"/>
    <w:rsid w:val="005310B2"/>
    <w:rsid w:val="005331B9"/>
    <w:rsid w:val="00534B8F"/>
    <w:rsid w:val="005423E3"/>
    <w:rsid w:val="0054420A"/>
    <w:rsid w:val="005461B0"/>
    <w:rsid w:val="00546FC5"/>
    <w:rsid w:val="00555E5A"/>
    <w:rsid w:val="0056059C"/>
    <w:rsid w:val="0057228C"/>
    <w:rsid w:val="00583727"/>
    <w:rsid w:val="00594E54"/>
    <w:rsid w:val="00597272"/>
    <w:rsid w:val="005B5E97"/>
    <w:rsid w:val="005C131A"/>
    <w:rsid w:val="005C3938"/>
    <w:rsid w:val="005C3E61"/>
    <w:rsid w:val="005D2F6F"/>
    <w:rsid w:val="005D48A6"/>
    <w:rsid w:val="005E0D46"/>
    <w:rsid w:val="005F3E29"/>
    <w:rsid w:val="005F5B9A"/>
    <w:rsid w:val="006024C6"/>
    <w:rsid w:val="006037E5"/>
    <w:rsid w:val="00604791"/>
    <w:rsid w:val="006125C6"/>
    <w:rsid w:val="00620D33"/>
    <w:rsid w:val="00634741"/>
    <w:rsid w:val="006427E2"/>
    <w:rsid w:val="00645CF5"/>
    <w:rsid w:val="00647133"/>
    <w:rsid w:val="006552C8"/>
    <w:rsid w:val="00683BED"/>
    <w:rsid w:val="00696264"/>
    <w:rsid w:val="006970D0"/>
    <w:rsid w:val="006A66B7"/>
    <w:rsid w:val="006B2DA0"/>
    <w:rsid w:val="006E290F"/>
    <w:rsid w:val="006E424B"/>
    <w:rsid w:val="006F6390"/>
    <w:rsid w:val="00700564"/>
    <w:rsid w:val="007029D7"/>
    <w:rsid w:val="0071171D"/>
    <w:rsid w:val="007212CD"/>
    <w:rsid w:val="00724B8F"/>
    <w:rsid w:val="00734E82"/>
    <w:rsid w:val="00736A8B"/>
    <w:rsid w:val="00741C88"/>
    <w:rsid w:val="007505F1"/>
    <w:rsid w:val="00751F03"/>
    <w:rsid w:val="0075454A"/>
    <w:rsid w:val="00755E30"/>
    <w:rsid w:val="0075764B"/>
    <w:rsid w:val="00771180"/>
    <w:rsid w:val="007719A0"/>
    <w:rsid w:val="00782C70"/>
    <w:rsid w:val="007858A1"/>
    <w:rsid w:val="0079515E"/>
    <w:rsid w:val="00797F33"/>
    <w:rsid w:val="007B6F40"/>
    <w:rsid w:val="007C0321"/>
    <w:rsid w:val="007C2E8B"/>
    <w:rsid w:val="007C59C2"/>
    <w:rsid w:val="007C6A5F"/>
    <w:rsid w:val="007D0211"/>
    <w:rsid w:val="008022FC"/>
    <w:rsid w:val="0080728A"/>
    <w:rsid w:val="0081208E"/>
    <w:rsid w:val="008178BF"/>
    <w:rsid w:val="00824DA3"/>
    <w:rsid w:val="0083239C"/>
    <w:rsid w:val="0084372E"/>
    <w:rsid w:val="008454DE"/>
    <w:rsid w:val="00851867"/>
    <w:rsid w:val="008660F4"/>
    <w:rsid w:val="0087685C"/>
    <w:rsid w:val="00876A4F"/>
    <w:rsid w:val="008829B8"/>
    <w:rsid w:val="00890FB2"/>
    <w:rsid w:val="008920A4"/>
    <w:rsid w:val="008A6540"/>
    <w:rsid w:val="008B633D"/>
    <w:rsid w:val="008C12FB"/>
    <w:rsid w:val="008C3D36"/>
    <w:rsid w:val="008C473F"/>
    <w:rsid w:val="008C77DE"/>
    <w:rsid w:val="008E54D9"/>
    <w:rsid w:val="008F432E"/>
    <w:rsid w:val="008F596F"/>
    <w:rsid w:val="0090161D"/>
    <w:rsid w:val="0090193A"/>
    <w:rsid w:val="00926276"/>
    <w:rsid w:val="00945F12"/>
    <w:rsid w:val="0094699A"/>
    <w:rsid w:val="00950615"/>
    <w:rsid w:val="00953725"/>
    <w:rsid w:val="00955C66"/>
    <w:rsid w:val="00956712"/>
    <w:rsid w:val="00961BF9"/>
    <w:rsid w:val="00963822"/>
    <w:rsid w:val="0097522E"/>
    <w:rsid w:val="009824DA"/>
    <w:rsid w:val="00986A17"/>
    <w:rsid w:val="009A0051"/>
    <w:rsid w:val="009A104E"/>
    <w:rsid w:val="009A1146"/>
    <w:rsid w:val="009C616E"/>
    <w:rsid w:val="009D27B0"/>
    <w:rsid w:val="009D4714"/>
    <w:rsid w:val="009F1669"/>
    <w:rsid w:val="00A048F4"/>
    <w:rsid w:val="00A06C0F"/>
    <w:rsid w:val="00A131D2"/>
    <w:rsid w:val="00A13EC1"/>
    <w:rsid w:val="00A26207"/>
    <w:rsid w:val="00A32B21"/>
    <w:rsid w:val="00A377BC"/>
    <w:rsid w:val="00A4466D"/>
    <w:rsid w:val="00A519F4"/>
    <w:rsid w:val="00A5441F"/>
    <w:rsid w:val="00A55A02"/>
    <w:rsid w:val="00A631F9"/>
    <w:rsid w:val="00A70BD3"/>
    <w:rsid w:val="00A77B56"/>
    <w:rsid w:val="00AA1AD7"/>
    <w:rsid w:val="00AA2E72"/>
    <w:rsid w:val="00AA7D9E"/>
    <w:rsid w:val="00AC1903"/>
    <w:rsid w:val="00AC72E0"/>
    <w:rsid w:val="00AD16B5"/>
    <w:rsid w:val="00AD47E4"/>
    <w:rsid w:val="00AE513D"/>
    <w:rsid w:val="00AF2E68"/>
    <w:rsid w:val="00AF2FBA"/>
    <w:rsid w:val="00B0200B"/>
    <w:rsid w:val="00B10D46"/>
    <w:rsid w:val="00B11D0A"/>
    <w:rsid w:val="00B31A76"/>
    <w:rsid w:val="00B437DC"/>
    <w:rsid w:val="00B44878"/>
    <w:rsid w:val="00B44C5F"/>
    <w:rsid w:val="00B54218"/>
    <w:rsid w:val="00B70570"/>
    <w:rsid w:val="00B75782"/>
    <w:rsid w:val="00B84AF1"/>
    <w:rsid w:val="00B878A3"/>
    <w:rsid w:val="00B944F2"/>
    <w:rsid w:val="00B94E7B"/>
    <w:rsid w:val="00B95134"/>
    <w:rsid w:val="00BA2751"/>
    <w:rsid w:val="00BA6285"/>
    <w:rsid w:val="00BA7E36"/>
    <w:rsid w:val="00BB3C82"/>
    <w:rsid w:val="00BB5500"/>
    <w:rsid w:val="00BD0E15"/>
    <w:rsid w:val="00BD4DF3"/>
    <w:rsid w:val="00BD52EE"/>
    <w:rsid w:val="00BD7346"/>
    <w:rsid w:val="00BE4318"/>
    <w:rsid w:val="00C01A53"/>
    <w:rsid w:val="00C12DBC"/>
    <w:rsid w:val="00C16F8F"/>
    <w:rsid w:val="00C45656"/>
    <w:rsid w:val="00C50305"/>
    <w:rsid w:val="00C560D9"/>
    <w:rsid w:val="00C64330"/>
    <w:rsid w:val="00C71C59"/>
    <w:rsid w:val="00C721F7"/>
    <w:rsid w:val="00C804FE"/>
    <w:rsid w:val="00C8792F"/>
    <w:rsid w:val="00C91CAF"/>
    <w:rsid w:val="00CB3782"/>
    <w:rsid w:val="00CC77E4"/>
    <w:rsid w:val="00CD078F"/>
    <w:rsid w:val="00CD4BDC"/>
    <w:rsid w:val="00CD5D3A"/>
    <w:rsid w:val="00CD6C40"/>
    <w:rsid w:val="00CE53D3"/>
    <w:rsid w:val="00CF4186"/>
    <w:rsid w:val="00CF4413"/>
    <w:rsid w:val="00CF7B77"/>
    <w:rsid w:val="00D077C7"/>
    <w:rsid w:val="00D13BEC"/>
    <w:rsid w:val="00D20E67"/>
    <w:rsid w:val="00D74AB1"/>
    <w:rsid w:val="00D74D6E"/>
    <w:rsid w:val="00D763DA"/>
    <w:rsid w:val="00D76A32"/>
    <w:rsid w:val="00D862C9"/>
    <w:rsid w:val="00DB1123"/>
    <w:rsid w:val="00DB1CA0"/>
    <w:rsid w:val="00DD199B"/>
    <w:rsid w:val="00DD1FD7"/>
    <w:rsid w:val="00DE4531"/>
    <w:rsid w:val="00DE6DC2"/>
    <w:rsid w:val="00E01580"/>
    <w:rsid w:val="00E036F3"/>
    <w:rsid w:val="00E07EF4"/>
    <w:rsid w:val="00E15E38"/>
    <w:rsid w:val="00E21047"/>
    <w:rsid w:val="00E47E5A"/>
    <w:rsid w:val="00E51C16"/>
    <w:rsid w:val="00E62E3F"/>
    <w:rsid w:val="00E7125D"/>
    <w:rsid w:val="00E90D5C"/>
    <w:rsid w:val="00E928E1"/>
    <w:rsid w:val="00E934D6"/>
    <w:rsid w:val="00E93B2D"/>
    <w:rsid w:val="00EA2732"/>
    <w:rsid w:val="00EA7551"/>
    <w:rsid w:val="00EB47AD"/>
    <w:rsid w:val="00EC3EAC"/>
    <w:rsid w:val="00EC5424"/>
    <w:rsid w:val="00ED15EA"/>
    <w:rsid w:val="00EE58A1"/>
    <w:rsid w:val="00EE759B"/>
    <w:rsid w:val="00EE7FED"/>
    <w:rsid w:val="00EF128C"/>
    <w:rsid w:val="00F14059"/>
    <w:rsid w:val="00F175D9"/>
    <w:rsid w:val="00F2489C"/>
    <w:rsid w:val="00F41480"/>
    <w:rsid w:val="00F47EFE"/>
    <w:rsid w:val="00F61111"/>
    <w:rsid w:val="00F66B13"/>
    <w:rsid w:val="00F865E0"/>
    <w:rsid w:val="00FA1686"/>
    <w:rsid w:val="00FA4BD0"/>
    <w:rsid w:val="00FB3255"/>
    <w:rsid w:val="00FD0621"/>
    <w:rsid w:val="00FD2026"/>
    <w:rsid w:val="00FD7B11"/>
    <w:rsid w:val="00FE14A5"/>
    <w:rsid w:val="00FF0F16"/>
    <w:rsid w:val="00FF2EEE"/>
    <w:rsid w:val="00FF65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0E88D"/>
  <w15:docId w15:val="{FB2E35F7-0F84-41F1-B193-223FCF49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 Font [Normal/Default]"/>
    <w:qFormat/>
    <w:rsid w:val="004A16E1"/>
    <w:pPr>
      <w:spacing w:after="0" w:line="360" w:lineRule="auto"/>
    </w:pPr>
    <w:rPr>
      <w:rFonts w:eastAsiaTheme="minorEastAsia"/>
      <w:color w:val="292929"/>
      <w:sz w:val="24"/>
      <w:szCs w:val="24"/>
      <w:lang w:val="en-GB"/>
    </w:rPr>
  </w:style>
  <w:style w:type="paragraph" w:styleId="Heading3">
    <w:name w:val="heading 3"/>
    <w:basedOn w:val="Normal"/>
    <w:link w:val="Heading3Char"/>
    <w:qFormat/>
    <w:rsid w:val="00A131D2"/>
    <w:pPr>
      <w:spacing w:before="100" w:beforeAutospacing="1" w:after="100" w:afterAutospacing="1" w:line="240" w:lineRule="auto"/>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2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2C9"/>
    <w:rPr>
      <w:rFonts w:ascii="Tahoma" w:hAnsi="Tahoma" w:cs="Tahoma"/>
      <w:sz w:val="16"/>
      <w:szCs w:val="16"/>
    </w:rPr>
  </w:style>
  <w:style w:type="paragraph" w:styleId="NoSpacing">
    <w:name w:val="No Spacing"/>
    <w:uiPriority w:val="1"/>
    <w:qFormat/>
    <w:rsid w:val="00B5421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D27B0"/>
    <w:pPr>
      <w:tabs>
        <w:tab w:val="center" w:pos="4513"/>
        <w:tab w:val="right" w:pos="9026"/>
      </w:tabs>
      <w:spacing w:line="240" w:lineRule="auto"/>
    </w:pPr>
  </w:style>
  <w:style w:type="character" w:customStyle="1" w:styleId="HeaderChar">
    <w:name w:val="Header Char"/>
    <w:basedOn w:val="DefaultParagraphFont"/>
    <w:link w:val="Header"/>
    <w:uiPriority w:val="99"/>
    <w:rsid w:val="009D27B0"/>
    <w:rPr>
      <w:rFonts w:eastAsiaTheme="minorEastAsia"/>
      <w:sz w:val="24"/>
      <w:szCs w:val="24"/>
      <w:lang w:val="en-US"/>
    </w:rPr>
  </w:style>
  <w:style w:type="paragraph" w:styleId="Footer">
    <w:name w:val="footer"/>
    <w:basedOn w:val="Normal"/>
    <w:link w:val="FooterChar"/>
    <w:uiPriority w:val="99"/>
    <w:unhideWhenUsed/>
    <w:rsid w:val="009D27B0"/>
    <w:pPr>
      <w:tabs>
        <w:tab w:val="center" w:pos="4513"/>
        <w:tab w:val="right" w:pos="9026"/>
      </w:tabs>
      <w:spacing w:line="240" w:lineRule="auto"/>
    </w:pPr>
  </w:style>
  <w:style w:type="character" w:customStyle="1" w:styleId="FooterChar">
    <w:name w:val="Footer Char"/>
    <w:basedOn w:val="DefaultParagraphFont"/>
    <w:link w:val="Footer"/>
    <w:uiPriority w:val="99"/>
    <w:rsid w:val="009D27B0"/>
    <w:rPr>
      <w:rFonts w:eastAsiaTheme="minorEastAsia"/>
      <w:sz w:val="24"/>
      <w:szCs w:val="24"/>
      <w:lang w:val="en-US"/>
    </w:rPr>
  </w:style>
  <w:style w:type="paragraph" w:styleId="ListParagraph">
    <w:name w:val="List Paragraph"/>
    <w:basedOn w:val="Normal"/>
    <w:uiPriority w:val="34"/>
    <w:qFormat/>
    <w:rsid w:val="00771180"/>
    <w:pPr>
      <w:ind w:left="720"/>
      <w:contextualSpacing/>
    </w:pPr>
  </w:style>
  <w:style w:type="character" w:styleId="Hyperlink">
    <w:name w:val="Hyperlink"/>
    <w:uiPriority w:val="99"/>
    <w:rsid w:val="00771180"/>
    <w:rPr>
      <w:color w:val="0000FF"/>
      <w:u w:val="single"/>
    </w:rPr>
  </w:style>
  <w:style w:type="paragraph" w:customStyle="1" w:styleId="Default">
    <w:name w:val="Default"/>
    <w:rsid w:val="005F3E29"/>
    <w:pPr>
      <w:autoSpaceDE w:val="0"/>
      <w:autoSpaceDN w:val="0"/>
      <w:adjustRightInd w:val="0"/>
      <w:spacing w:after="0" w:line="240" w:lineRule="auto"/>
    </w:pPr>
    <w:rPr>
      <w:rFonts w:ascii="Calibri" w:eastAsiaTheme="minorEastAsia" w:hAnsi="Calibri" w:cs="Calibri"/>
      <w:color w:val="000000"/>
      <w:sz w:val="24"/>
      <w:szCs w:val="24"/>
    </w:rPr>
  </w:style>
  <w:style w:type="paragraph" w:styleId="BlockText">
    <w:name w:val="Block Text"/>
    <w:basedOn w:val="Normal"/>
    <w:uiPriority w:val="99"/>
    <w:rsid w:val="001B4C2C"/>
    <w:pPr>
      <w:spacing w:before="100" w:beforeAutospacing="1" w:after="240" w:line="240" w:lineRule="auto"/>
      <w:ind w:left="720" w:right="720"/>
      <w:jc w:val="both"/>
    </w:pPr>
    <w:rPr>
      <w:rFonts w:ascii="Arial" w:eastAsia="Times New Roman" w:hAnsi="Arial" w:cs="Arial"/>
      <w:sz w:val="22"/>
    </w:rPr>
  </w:style>
  <w:style w:type="character" w:customStyle="1" w:styleId="Heading3Char">
    <w:name w:val="Heading 3 Char"/>
    <w:basedOn w:val="DefaultParagraphFont"/>
    <w:link w:val="Heading3"/>
    <w:rsid w:val="00A131D2"/>
    <w:rPr>
      <w:rFonts w:ascii="Arial" w:eastAsia="Times New Roman" w:hAnsi="Arial" w:cs="Times New Roman"/>
      <w:b/>
      <w:bCs/>
      <w:sz w:val="26"/>
      <w:szCs w:val="26"/>
      <w:lang w:val="en-US"/>
    </w:rPr>
  </w:style>
  <w:style w:type="paragraph" w:styleId="Title">
    <w:name w:val="Title"/>
    <w:aliases w:val="Job Spacing"/>
    <w:basedOn w:val="Normal"/>
    <w:link w:val="TitleChar"/>
    <w:qFormat/>
    <w:rsid w:val="00D077C7"/>
    <w:pPr>
      <w:spacing w:line="240" w:lineRule="auto"/>
      <w:jc w:val="center"/>
    </w:pPr>
    <w:rPr>
      <w:rFonts w:ascii="Verdana" w:eastAsia="Times New Roman" w:hAnsi="Verdana" w:cs="Times New Roman"/>
      <w:b/>
      <w:bCs/>
      <w:color w:val="auto"/>
      <w:sz w:val="32"/>
    </w:rPr>
  </w:style>
  <w:style w:type="character" w:customStyle="1" w:styleId="TitleChar">
    <w:name w:val="Title Char"/>
    <w:aliases w:val="Job Spacing Char"/>
    <w:basedOn w:val="DefaultParagraphFont"/>
    <w:link w:val="Title"/>
    <w:rsid w:val="00D077C7"/>
    <w:rPr>
      <w:rFonts w:ascii="Verdana" w:eastAsia="Times New Roman" w:hAnsi="Verdana" w:cs="Times New Roman"/>
      <w:b/>
      <w:bCs/>
      <w:sz w:val="32"/>
      <w:szCs w:val="24"/>
      <w:lang w:val="en-US"/>
    </w:rPr>
  </w:style>
  <w:style w:type="paragraph" w:styleId="PlainText">
    <w:name w:val="Plain Text"/>
    <w:basedOn w:val="Normal"/>
    <w:link w:val="PlainTextChar"/>
    <w:uiPriority w:val="99"/>
    <w:unhideWhenUsed/>
    <w:rsid w:val="00D077C7"/>
    <w:pPr>
      <w:spacing w:line="240" w:lineRule="auto"/>
    </w:pPr>
    <w:rPr>
      <w:rFonts w:ascii="Consolas" w:eastAsia="Calibri" w:hAnsi="Consolas" w:cs="Times New Roman"/>
      <w:color w:val="auto"/>
      <w:sz w:val="21"/>
      <w:szCs w:val="21"/>
      <w:lang w:val="x-none" w:eastAsia="x-none"/>
    </w:rPr>
  </w:style>
  <w:style w:type="character" w:customStyle="1" w:styleId="PlainTextChar">
    <w:name w:val="Plain Text Char"/>
    <w:basedOn w:val="DefaultParagraphFont"/>
    <w:link w:val="PlainText"/>
    <w:uiPriority w:val="99"/>
    <w:rsid w:val="00D077C7"/>
    <w:rPr>
      <w:rFonts w:ascii="Consolas" w:eastAsia="Calibri" w:hAnsi="Consolas" w:cs="Times New Roman"/>
      <w:sz w:val="21"/>
      <w:szCs w:val="21"/>
      <w:lang w:val="x-none" w:eastAsia="x-none"/>
    </w:rPr>
  </w:style>
  <w:style w:type="paragraph" w:styleId="FootnoteText">
    <w:name w:val="footnote text"/>
    <w:basedOn w:val="Normal"/>
    <w:link w:val="FootnoteTextChar"/>
    <w:uiPriority w:val="99"/>
    <w:semiHidden/>
    <w:unhideWhenUsed/>
    <w:rsid w:val="001A0AF2"/>
    <w:pPr>
      <w:spacing w:line="240" w:lineRule="auto"/>
    </w:pPr>
    <w:rPr>
      <w:sz w:val="20"/>
      <w:szCs w:val="20"/>
    </w:rPr>
  </w:style>
  <w:style w:type="character" w:customStyle="1" w:styleId="FootnoteTextChar">
    <w:name w:val="Footnote Text Char"/>
    <w:basedOn w:val="DefaultParagraphFont"/>
    <w:link w:val="FootnoteText"/>
    <w:uiPriority w:val="99"/>
    <w:semiHidden/>
    <w:rsid w:val="001A0AF2"/>
    <w:rPr>
      <w:rFonts w:eastAsiaTheme="minorEastAsia"/>
      <w:color w:val="292929"/>
      <w:sz w:val="20"/>
      <w:szCs w:val="20"/>
      <w:lang w:val="en-US"/>
    </w:rPr>
  </w:style>
  <w:style w:type="character" w:styleId="FootnoteReference">
    <w:name w:val="footnote reference"/>
    <w:basedOn w:val="DefaultParagraphFont"/>
    <w:uiPriority w:val="99"/>
    <w:semiHidden/>
    <w:unhideWhenUsed/>
    <w:rsid w:val="001A0AF2"/>
    <w:rPr>
      <w:vertAlign w:val="superscript"/>
    </w:rPr>
  </w:style>
  <w:style w:type="character" w:styleId="CommentReference">
    <w:name w:val="annotation reference"/>
    <w:basedOn w:val="DefaultParagraphFont"/>
    <w:uiPriority w:val="99"/>
    <w:semiHidden/>
    <w:unhideWhenUsed/>
    <w:rsid w:val="00467CA7"/>
    <w:rPr>
      <w:sz w:val="16"/>
      <w:szCs w:val="16"/>
    </w:rPr>
  </w:style>
  <w:style w:type="paragraph" w:styleId="CommentText">
    <w:name w:val="annotation text"/>
    <w:basedOn w:val="Normal"/>
    <w:link w:val="CommentTextChar"/>
    <w:uiPriority w:val="99"/>
    <w:semiHidden/>
    <w:unhideWhenUsed/>
    <w:rsid w:val="00467CA7"/>
    <w:pPr>
      <w:spacing w:line="240" w:lineRule="auto"/>
    </w:pPr>
    <w:rPr>
      <w:sz w:val="20"/>
      <w:szCs w:val="20"/>
    </w:rPr>
  </w:style>
  <w:style w:type="character" w:customStyle="1" w:styleId="CommentTextChar">
    <w:name w:val="Comment Text Char"/>
    <w:basedOn w:val="DefaultParagraphFont"/>
    <w:link w:val="CommentText"/>
    <w:uiPriority w:val="99"/>
    <w:semiHidden/>
    <w:rsid w:val="00467CA7"/>
    <w:rPr>
      <w:rFonts w:eastAsiaTheme="minorEastAsia"/>
      <w:color w:val="292929"/>
      <w:sz w:val="20"/>
      <w:szCs w:val="20"/>
      <w:lang w:val="en-GB"/>
    </w:rPr>
  </w:style>
  <w:style w:type="paragraph" w:customStyle="1" w:styleId="Normal0">
    <w:name w:val="Normal0"/>
    <w:basedOn w:val="Normal"/>
    <w:uiPriority w:val="1"/>
    <w:qFormat/>
    <w:rsid w:val="000C12D1"/>
    <w:pPr>
      <w:widowControl w:val="0"/>
      <w:spacing w:line="240" w:lineRule="auto"/>
    </w:pPr>
    <w:rPr>
      <w:rFonts w:ascii="Times New Roman" w:eastAsia="Times New Roman" w:hAnsi="Times New Roman" w:cs="Times New Roman"/>
      <w:color w:val="auto"/>
      <w:lang w:eastAsia="en-GB"/>
    </w:rPr>
  </w:style>
  <w:style w:type="character" w:styleId="UnresolvedMention">
    <w:name w:val="Unresolved Mention"/>
    <w:basedOn w:val="DefaultParagraphFont"/>
    <w:uiPriority w:val="99"/>
    <w:semiHidden/>
    <w:unhideWhenUsed/>
    <w:rsid w:val="00247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42453">
      <w:bodyDiv w:val="1"/>
      <w:marLeft w:val="0"/>
      <w:marRight w:val="0"/>
      <w:marTop w:val="0"/>
      <w:marBottom w:val="0"/>
      <w:divBdr>
        <w:top w:val="none" w:sz="0" w:space="0" w:color="auto"/>
        <w:left w:val="none" w:sz="0" w:space="0" w:color="auto"/>
        <w:bottom w:val="none" w:sz="0" w:space="0" w:color="auto"/>
        <w:right w:val="none" w:sz="0" w:space="0" w:color="auto"/>
      </w:divBdr>
    </w:div>
    <w:div w:id="466432493">
      <w:bodyDiv w:val="1"/>
      <w:marLeft w:val="0"/>
      <w:marRight w:val="0"/>
      <w:marTop w:val="0"/>
      <w:marBottom w:val="0"/>
      <w:divBdr>
        <w:top w:val="none" w:sz="0" w:space="0" w:color="auto"/>
        <w:left w:val="none" w:sz="0" w:space="0" w:color="auto"/>
        <w:bottom w:val="none" w:sz="0" w:space="0" w:color="auto"/>
        <w:right w:val="none" w:sz="0" w:space="0" w:color="auto"/>
      </w:divBdr>
    </w:div>
    <w:div w:id="1711228085">
      <w:bodyDiv w:val="1"/>
      <w:marLeft w:val="0"/>
      <w:marRight w:val="0"/>
      <w:marTop w:val="0"/>
      <w:marBottom w:val="0"/>
      <w:divBdr>
        <w:top w:val="none" w:sz="0" w:space="0" w:color="auto"/>
        <w:left w:val="none" w:sz="0" w:space="0" w:color="auto"/>
        <w:bottom w:val="none" w:sz="0" w:space="0" w:color="auto"/>
        <w:right w:val="none" w:sz="0" w:space="0" w:color="auto"/>
      </w:divBdr>
    </w:div>
    <w:div w:id="195127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ivate-project.eu/" TargetMode="External"/><Relationship Id="rId13" Type="http://schemas.openxmlformats.org/officeDocument/2006/relationships/hyperlink" Target="https://www.tcd.ie/h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GALLAG3@tcd.ie" TargetMode="External"/><Relationship Id="rId7" Type="http://schemas.openxmlformats.org/officeDocument/2006/relationships/endnotes" Target="endnotes.xml"/><Relationship Id="rId12" Type="http://schemas.openxmlformats.org/officeDocument/2006/relationships/hyperlink" Target="http://www.tcd.ie" TargetMode="External"/><Relationship Id="rId17" Type="http://schemas.openxmlformats.org/officeDocument/2006/relationships/hyperlink" Target="https://dbei.gov.ie/en/What-We-Do/Workplace-and-Skills/Employment-Permits/Employment-Permit-Eligibility/Ineligible-Categories-of-Employme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bei.gov.ie/en/What-We-Do/Workplace-and-Skills/Employment-Permits/Employment-Permit-Eligibility/Highly-Skilled-Eligible-Occupations-List/" TargetMode="External"/><Relationship Id="rId20" Type="http://schemas.openxmlformats.org/officeDocument/2006/relationships/hyperlink" Target="https://www.tcd.ie/diversity-inclusion/diversity-stat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ltivate-project.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cd.ie/research/about/rankings" TargetMode="External"/><Relationship Id="rId23" Type="http://schemas.openxmlformats.org/officeDocument/2006/relationships/image" Target="media/image2.jpeg"/><Relationship Id="rId10" Type="http://schemas.openxmlformats.org/officeDocument/2006/relationships/hyperlink" Target="mailto:DGALLAG3@tcd.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esa@tcd.ie" TargetMode="External"/><Relationship Id="rId14" Type="http://schemas.openxmlformats.org/officeDocument/2006/relationships/hyperlink" Target="https://www.tcd.ie/research/themes/" TargetMode="External"/><Relationship Id="rId22" Type="http://schemas.openxmlformats.org/officeDocument/2006/relationships/hyperlink" Target="mailto:daviesa@tcd.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5AC02-A04D-47F9-9B7B-D364EA67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1931</Words>
  <Characters>10934</Characters>
  <Application>Microsoft Office Word</Application>
  <DocSecurity>0</DocSecurity>
  <Lines>185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Daisy Gallagher</cp:lastModifiedBy>
  <cp:revision>3</cp:revision>
  <cp:lastPrinted>2023-04-05T13:01:00Z</cp:lastPrinted>
  <dcterms:created xsi:type="dcterms:W3CDTF">2026-04-16T08:16:00Z</dcterms:created>
  <dcterms:modified xsi:type="dcterms:W3CDTF">2026-04-16T09:29:00Z</dcterms:modified>
</cp:coreProperties>
</file>